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C2" w:rsidRPr="005A518C" w:rsidRDefault="009B36C2" w:rsidP="00E91E0F">
      <w:pPr>
        <w:jc w:val="center"/>
        <w:rPr>
          <w:b/>
          <w:sz w:val="28"/>
        </w:rPr>
      </w:pPr>
      <w:r w:rsidRPr="005A518C">
        <w:rPr>
          <w:b/>
          <w:sz w:val="28"/>
        </w:rPr>
        <w:t>ОТЧЕТ</w:t>
      </w:r>
    </w:p>
    <w:p w:rsidR="009B36C2" w:rsidRPr="009B36C2" w:rsidRDefault="009B36C2" w:rsidP="00E91E0F">
      <w:pPr>
        <w:jc w:val="center"/>
        <w:rPr>
          <w:b/>
          <w:sz w:val="28"/>
        </w:rPr>
      </w:pPr>
      <w:r w:rsidRPr="005A518C">
        <w:rPr>
          <w:b/>
          <w:sz w:val="28"/>
        </w:rPr>
        <w:t>о результатах</w:t>
      </w:r>
      <w:r>
        <w:rPr>
          <w:b/>
          <w:sz w:val="28"/>
        </w:rPr>
        <w:t xml:space="preserve"> </w:t>
      </w:r>
      <w:r w:rsidRPr="009B36C2">
        <w:rPr>
          <w:b/>
          <w:sz w:val="28"/>
        </w:rPr>
        <w:t>контрольного мероприятия</w:t>
      </w:r>
    </w:p>
    <w:p w:rsidR="009B36C2" w:rsidRPr="005A518C" w:rsidRDefault="009B36C2" w:rsidP="00E91E0F">
      <w:pPr>
        <w:jc w:val="center"/>
        <w:rPr>
          <w:b/>
          <w:sz w:val="28"/>
        </w:rPr>
      </w:pPr>
      <w:r w:rsidRPr="009B36C2">
        <w:rPr>
          <w:b/>
          <w:sz w:val="28"/>
        </w:rPr>
        <w:t>«</w:t>
      </w:r>
      <w:r w:rsidR="0009255B" w:rsidRPr="00535777">
        <w:rPr>
          <w:sz w:val="28"/>
          <w:szCs w:val="28"/>
        </w:rPr>
        <w:t>Проверка достоверности, полноты и соответствия нормативным требованиям составления и предоставления бюджетной отчетности отдела культуры администрации Грачевского муниципального района Ставропольского края за 2018 год</w:t>
      </w:r>
      <w:r w:rsidR="00CB7F9D">
        <w:rPr>
          <w:b/>
          <w:sz w:val="28"/>
        </w:rPr>
        <w:t>»</w:t>
      </w:r>
    </w:p>
    <w:p w:rsidR="009B36C2" w:rsidRDefault="009B36C2" w:rsidP="00E91E0F">
      <w:pPr>
        <w:jc w:val="center"/>
      </w:pPr>
    </w:p>
    <w:p w:rsidR="00E91E0F" w:rsidRPr="00DB6EAA" w:rsidRDefault="00E91E0F" w:rsidP="00E91E0F">
      <w:pPr>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9B36C2" w:rsidRPr="00B34D64" w:rsidTr="009360DC">
        <w:trPr>
          <w:trHeight w:val="256"/>
        </w:trPr>
        <w:tc>
          <w:tcPr>
            <w:tcW w:w="3240" w:type="dxa"/>
          </w:tcPr>
          <w:p w:rsidR="009B36C2" w:rsidRPr="00B34D64" w:rsidRDefault="009B36C2" w:rsidP="00E91E0F">
            <w:pPr>
              <w:overflowPunct w:val="0"/>
              <w:jc w:val="both"/>
              <w:textAlignment w:val="baseline"/>
              <w:rPr>
                <w:sz w:val="28"/>
              </w:rPr>
            </w:pPr>
            <w:proofErr w:type="gramStart"/>
            <w:r>
              <w:rPr>
                <w:sz w:val="28"/>
              </w:rPr>
              <w:t>с</w:t>
            </w:r>
            <w:proofErr w:type="gramEnd"/>
            <w:r>
              <w:rPr>
                <w:sz w:val="28"/>
              </w:rPr>
              <w:t>. Грачевка</w:t>
            </w:r>
          </w:p>
        </w:tc>
        <w:tc>
          <w:tcPr>
            <w:tcW w:w="3216" w:type="dxa"/>
          </w:tcPr>
          <w:p w:rsidR="009B36C2" w:rsidRPr="00B34D64" w:rsidRDefault="009B36C2" w:rsidP="00E91E0F">
            <w:pPr>
              <w:overflowPunct w:val="0"/>
              <w:jc w:val="both"/>
              <w:textAlignment w:val="baseline"/>
              <w:rPr>
                <w:sz w:val="28"/>
              </w:rPr>
            </w:pPr>
          </w:p>
        </w:tc>
        <w:tc>
          <w:tcPr>
            <w:tcW w:w="3398" w:type="dxa"/>
          </w:tcPr>
          <w:p w:rsidR="009B36C2" w:rsidRPr="00B34D64" w:rsidRDefault="00E91E0F" w:rsidP="00E91E0F">
            <w:pPr>
              <w:overflowPunct w:val="0"/>
              <w:jc w:val="right"/>
              <w:textAlignment w:val="baseline"/>
              <w:rPr>
                <w:sz w:val="28"/>
              </w:rPr>
            </w:pPr>
            <w:r w:rsidRPr="00E91E0F">
              <w:rPr>
                <w:sz w:val="28"/>
              </w:rPr>
              <w:t>«28» марта 2019 года</w:t>
            </w:r>
          </w:p>
        </w:tc>
      </w:tr>
    </w:tbl>
    <w:p w:rsidR="009B36C2" w:rsidRPr="00DB6EAA" w:rsidRDefault="009B36C2" w:rsidP="00E91E0F">
      <w:pPr>
        <w:tabs>
          <w:tab w:val="left" w:pos="1800"/>
        </w:tabs>
        <w:ind w:firstLine="540"/>
        <w:jc w:val="both"/>
      </w:pPr>
    </w:p>
    <w:p w:rsidR="00E91E0F" w:rsidRDefault="00E91E0F" w:rsidP="00E91E0F">
      <w:pPr>
        <w:ind w:firstLine="708"/>
        <w:jc w:val="both"/>
        <w:rPr>
          <w:b/>
          <w:sz w:val="28"/>
        </w:rPr>
      </w:pPr>
    </w:p>
    <w:p w:rsidR="009B36C2" w:rsidRPr="005A518C" w:rsidRDefault="009B36C2" w:rsidP="00E91E0F">
      <w:pPr>
        <w:ind w:firstLine="708"/>
        <w:jc w:val="both"/>
        <w:rPr>
          <w:sz w:val="28"/>
        </w:rPr>
      </w:pPr>
      <w:r w:rsidRPr="005A518C">
        <w:rPr>
          <w:b/>
          <w:sz w:val="28"/>
        </w:rPr>
        <w:t>Основание для проведения контрольного мероприятия:</w:t>
      </w:r>
      <w:r>
        <w:rPr>
          <w:b/>
          <w:sz w:val="28"/>
        </w:rPr>
        <w:t xml:space="preserve"> </w:t>
      </w:r>
      <w:r w:rsidRPr="009B36C2">
        <w:rPr>
          <w:sz w:val="28"/>
        </w:rPr>
        <w:t>пункт 2.3 плана работы Контрольно-счетной комиссии Грачевского муниципального района Ставропольского края (далее – КСК) на 201</w:t>
      </w:r>
      <w:r w:rsidR="00CB7F9D">
        <w:rPr>
          <w:sz w:val="28"/>
        </w:rPr>
        <w:t>9</w:t>
      </w:r>
      <w:r w:rsidRPr="009B36C2">
        <w:rPr>
          <w:sz w:val="28"/>
        </w:rPr>
        <w:t xml:space="preserve"> год, распоряжение председателя </w:t>
      </w:r>
      <w:r w:rsidRPr="00E91E0F">
        <w:rPr>
          <w:sz w:val="28"/>
        </w:rPr>
        <w:t xml:space="preserve">КСК от </w:t>
      </w:r>
      <w:r w:rsidR="00E91E0F" w:rsidRPr="00E91E0F">
        <w:rPr>
          <w:sz w:val="28"/>
        </w:rPr>
        <w:t>01</w:t>
      </w:r>
      <w:r w:rsidR="00E91E0F">
        <w:rPr>
          <w:sz w:val="28"/>
        </w:rPr>
        <w:t>.03.2019 № 6</w:t>
      </w:r>
      <w:r w:rsidRPr="005A518C">
        <w:rPr>
          <w:sz w:val="28"/>
        </w:rPr>
        <w:t>.</w:t>
      </w:r>
    </w:p>
    <w:p w:rsidR="009B36C2" w:rsidRPr="00AE41FE" w:rsidRDefault="009B36C2" w:rsidP="00E91E0F">
      <w:pPr>
        <w:ind w:firstLine="709"/>
        <w:jc w:val="both"/>
        <w:rPr>
          <w:sz w:val="28"/>
          <w:szCs w:val="28"/>
        </w:rPr>
      </w:pPr>
      <w:r w:rsidRPr="00AE41FE">
        <w:rPr>
          <w:b/>
          <w:sz w:val="28"/>
          <w:szCs w:val="28"/>
        </w:rPr>
        <w:t>Цели контрольного мероприятия:</w:t>
      </w:r>
      <w:r w:rsidRPr="00AE41FE">
        <w:rPr>
          <w:sz w:val="28"/>
          <w:szCs w:val="28"/>
        </w:rPr>
        <w:t xml:space="preserve"> </w:t>
      </w:r>
    </w:p>
    <w:p w:rsidR="00CB7F9D" w:rsidRPr="0066173B" w:rsidRDefault="009B36C2" w:rsidP="00E91E0F">
      <w:pPr>
        <w:tabs>
          <w:tab w:val="left" w:pos="-3969"/>
        </w:tabs>
        <w:contextualSpacing/>
        <w:jc w:val="both"/>
        <w:rPr>
          <w:rFonts w:eastAsia="Calibri"/>
          <w:sz w:val="28"/>
          <w:szCs w:val="28"/>
          <w:lang w:eastAsia="en-US"/>
        </w:rPr>
      </w:pPr>
      <w:r w:rsidRPr="00933050">
        <w:rPr>
          <w:rFonts w:eastAsia="Calibri"/>
          <w:sz w:val="28"/>
          <w:szCs w:val="28"/>
          <w:lang w:eastAsia="en-US"/>
        </w:rPr>
        <w:tab/>
      </w:r>
      <w:r w:rsidR="00CB7F9D" w:rsidRPr="0066173B">
        <w:rPr>
          <w:rFonts w:eastAsia="Calibri"/>
          <w:sz w:val="28"/>
          <w:szCs w:val="28"/>
          <w:lang w:eastAsia="en-US"/>
        </w:rPr>
        <w:t xml:space="preserve">- </w:t>
      </w:r>
      <w:r w:rsidR="00CB7F9D" w:rsidRPr="00B2073D">
        <w:rPr>
          <w:rFonts w:eastAsia="Calibri"/>
          <w:sz w:val="28"/>
          <w:szCs w:val="28"/>
          <w:lang w:eastAsia="en-US"/>
        </w:rPr>
        <w:t>установление полноты представленной бюджетной отчетности, ее соответствие установленным требованиям</w:t>
      </w:r>
      <w:r w:rsidR="00CB7F9D" w:rsidRPr="0066173B">
        <w:rPr>
          <w:rFonts w:eastAsia="Calibri"/>
          <w:sz w:val="28"/>
          <w:szCs w:val="28"/>
          <w:lang w:eastAsia="en-US"/>
        </w:rPr>
        <w:t>;</w:t>
      </w:r>
    </w:p>
    <w:p w:rsidR="00CB7F9D" w:rsidRPr="0066173B" w:rsidRDefault="00CB7F9D" w:rsidP="00E91E0F">
      <w:pPr>
        <w:tabs>
          <w:tab w:val="left" w:pos="-3969"/>
        </w:tabs>
        <w:contextualSpacing/>
        <w:jc w:val="both"/>
        <w:rPr>
          <w:rFonts w:eastAsia="Calibri"/>
          <w:sz w:val="28"/>
          <w:szCs w:val="28"/>
          <w:lang w:eastAsia="en-US"/>
        </w:rPr>
      </w:pPr>
      <w:r>
        <w:rPr>
          <w:rFonts w:eastAsia="Calibri"/>
          <w:sz w:val="28"/>
          <w:szCs w:val="28"/>
          <w:lang w:eastAsia="en-US"/>
        </w:rPr>
        <w:tab/>
      </w:r>
      <w:r w:rsidRPr="0066173B">
        <w:rPr>
          <w:rFonts w:eastAsia="Calibri"/>
          <w:sz w:val="28"/>
          <w:szCs w:val="28"/>
          <w:lang w:eastAsia="en-US"/>
        </w:rPr>
        <w:t>-</w:t>
      </w:r>
      <w:r>
        <w:rPr>
          <w:rFonts w:eastAsia="Calibri"/>
          <w:sz w:val="28"/>
          <w:szCs w:val="28"/>
          <w:lang w:eastAsia="en-US"/>
        </w:rPr>
        <w:t xml:space="preserve"> </w:t>
      </w:r>
      <w:r w:rsidRPr="00C1527F">
        <w:rPr>
          <w:rFonts w:eastAsia="Calibri"/>
          <w:sz w:val="28"/>
          <w:szCs w:val="28"/>
          <w:lang w:eastAsia="en-US"/>
        </w:rPr>
        <w:t>оценка достоверности показателей представленной отчетности</w:t>
      </w:r>
      <w:r>
        <w:rPr>
          <w:rFonts w:eastAsia="Calibri"/>
          <w:sz w:val="28"/>
          <w:szCs w:val="28"/>
          <w:lang w:eastAsia="en-US"/>
        </w:rPr>
        <w:t>.</w:t>
      </w:r>
    </w:p>
    <w:p w:rsidR="00CB7F9D" w:rsidRPr="007341F6" w:rsidRDefault="009B36C2" w:rsidP="00E91E0F">
      <w:pPr>
        <w:tabs>
          <w:tab w:val="left" w:pos="-5529"/>
        </w:tabs>
        <w:ind w:firstLine="709"/>
        <w:contextualSpacing/>
        <w:jc w:val="both"/>
        <w:rPr>
          <w:rFonts w:eastAsia="Calibri"/>
          <w:sz w:val="28"/>
          <w:szCs w:val="28"/>
          <w:lang w:eastAsia="en-US"/>
        </w:rPr>
      </w:pPr>
      <w:r w:rsidRPr="00AE41FE">
        <w:rPr>
          <w:b/>
          <w:sz w:val="28"/>
          <w:szCs w:val="28"/>
        </w:rPr>
        <w:t>Предмет контрольного мероприятия:</w:t>
      </w:r>
      <w:r w:rsidRPr="00AE41FE">
        <w:rPr>
          <w:sz w:val="28"/>
          <w:szCs w:val="28"/>
        </w:rPr>
        <w:t xml:space="preserve">  </w:t>
      </w:r>
      <w:r w:rsidR="0009255B" w:rsidRPr="00C1527F">
        <w:rPr>
          <w:rFonts w:eastAsia="Calibri"/>
          <w:sz w:val="28"/>
          <w:szCs w:val="28"/>
          <w:lang w:eastAsia="en-US"/>
        </w:rPr>
        <w:t xml:space="preserve">годовая бюджетная отчетность </w:t>
      </w:r>
      <w:r w:rsidR="0009255B" w:rsidRPr="00535777">
        <w:rPr>
          <w:sz w:val="28"/>
          <w:szCs w:val="28"/>
        </w:rPr>
        <w:t xml:space="preserve">отдела культуры </w:t>
      </w:r>
      <w:r w:rsidR="0009255B" w:rsidRPr="00673C6B">
        <w:rPr>
          <w:rFonts w:eastAsia="Calibri"/>
          <w:sz w:val="28"/>
          <w:szCs w:val="28"/>
          <w:lang w:eastAsia="en-US"/>
        </w:rPr>
        <w:t xml:space="preserve">администрации </w:t>
      </w:r>
      <w:r w:rsidR="0009255B" w:rsidRPr="00C1527F">
        <w:rPr>
          <w:rFonts w:eastAsia="Calibri"/>
          <w:sz w:val="28"/>
          <w:szCs w:val="28"/>
          <w:lang w:eastAsia="en-US"/>
        </w:rPr>
        <w:t>Грачевского муниципального района</w:t>
      </w:r>
      <w:r w:rsidR="00CB7F9D">
        <w:rPr>
          <w:rFonts w:eastAsia="Calibri"/>
          <w:sz w:val="28"/>
          <w:szCs w:val="28"/>
          <w:lang w:eastAsia="en-US"/>
        </w:rPr>
        <w:t>.</w:t>
      </w:r>
    </w:p>
    <w:p w:rsidR="00CB7F9D" w:rsidRPr="007341F6" w:rsidRDefault="009B36C2" w:rsidP="00E91E0F">
      <w:pPr>
        <w:ind w:firstLine="709"/>
        <w:contextualSpacing/>
        <w:jc w:val="both"/>
        <w:rPr>
          <w:rFonts w:eastAsia="Calibri"/>
          <w:sz w:val="28"/>
          <w:szCs w:val="28"/>
          <w:lang w:eastAsia="en-US"/>
        </w:rPr>
      </w:pPr>
      <w:r w:rsidRPr="00976B5E">
        <w:rPr>
          <w:b/>
          <w:sz w:val="28"/>
          <w:szCs w:val="28"/>
        </w:rPr>
        <w:t>Объект контрольного мероприятия:</w:t>
      </w:r>
      <w:r w:rsidRPr="00976B5E">
        <w:rPr>
          <w:sz w:val="28"/>
          <w:szCs w:val="28"/>
        </w:rPr>
        <w:t xml:space="preserve"> </w:t>
      </w:r>
      <w:r w:rsidR="0009255B">
        <w:rPr>
          <w:sz w:val="28"/>
          <w:szCs w:val="28"/>
        </w:rPr>
        <w:t>отдел</w:t>
      </w:r>
      <w:r w:rsidR="0009255B" w:rsidRPr="00535777">
        <w:rPr>
          <w:sz w:val="28"/>
          <w:szCs w:val="28"/>
        </w:rPr>
        <w:t xml:space="preserve"> культуры </w:t>
      </w:r>
      <w:r w:rsidR="0009255B">
        <w:rPr>
          <w:rFonts w:eastAsia="Calibri"/>
          <w:sz w:val="28"/>
          <w:szCs w:val="28"/>
          <w:lang w:eastAsia="en-US"/>
        </w:rPr>
        <w:t>администрации</w:t>
      </w:r>
      <w:r w:rsidR="0009255B" w:rsidRPr="00673C6B">
        <w:rPr>
          <w:rFonts w:eastAsia="Calibri"/>
          <w:sz w:val="28"/>
          <w:szCs w:val="28"/>
          <w:lang w:eastAsia="en-US"/>
        </w:rPr>
        <w:t xml:space="preserve"> </w:t>
      </w:r>
      <w:r w:rsidR="0009255B">
        <w:rPr>
          <w:rFonts w:eastAsia="Calibri"/>
          <w:sz w:val="28"/>
          <w:szCs w:val="28"/>
          <w:lang w:eastAsia="en-US"/>
        </w:rPr>
        <w:t>Грачевского муниципального района Ставропольского края</w:t>
      </w:r>
      <w:r w:rsidR="00CB7F9D">
        <w:rPr>
          <w:rFonts w:eastAsia="Calibri"/>
          <w:sz w:val="28"/>
          <w:szCs w:val="28"/>
          <w:lang w:eastAsia="en-US"/>
        </w:rPr>
        <w:t>.</w:t>
      </w:r>
    </w:p>
    <w:p w:rsidR="009B36C2" w:rsidRPr="00DB6EAA" w:rsidRDefault="009B36C2" w:rsidP="00E91E0F">
      <w:pPr>
        <w:tabs>
          <w:tab w:val="left" w:pos="-16160"/>
        </w:tabs>
        <w:jc w:val="both"/>
      </w:pPr>
      <w:r>
        <w:rPr>
          <w:b/>
          <w:sz w:val="28"/>
          <w:szCs w:val="28"/>
        </w:rPr>
        <w:tab/>
      </w:r>
      <w:r w:rsidRPr="00AE41FE">
        <w:rPr>
          <w:b/>
          <w:sz w:val="28"/>
          <w:szCs w:val="28"/>
        </w:rPr>
        <w:t>Проверяемый период деятельности:</w:t>
      </w:r>
      <w:r w:rsidRPr="00AE41FE">
        <w:rPr>
          <w:sz w:val="28"/>
          <w:szCs w:val="28"/>
        </w:rPr>
        <w:t xml:space="preserve"> </w:t>
      </w:r>
      <w:r>
        <w:rPr>
          <w:sz w:val="28"/>
          <w:szCs w:val="28"/>
        </w:rPr>
        <w:t>2018</w:t>
      </w:r>
      <w:r>
        <w:rPr>
          <w:sz w:val="28"/>
          <w:szCs w:val="28"/>
          <w:lang w:val="en-US"/>
        </w:rPr>
        <w:t> </w:t>
      </w:r>
      <w:r w:rsidRPr="00AE41FE">
        <w:rPr>
          <w:sz w:val="28"/>
          <w:szCs w:val="28"/>
        </w:rPr>
        <w:t>год</w:t>
      </w:r>
      <w:r w:rsidR="00CB7F9D">
        <w:rPr>
          <w:sz w:val="28"/>
          <w:szCs w:val="28"/>
        </w:rPr>
        <w:t>.</w:t>
      </w:r>
    </w:p>
    <w:p w:rsidR="009B36C2" w:rsidRPr="005A518C" w:rsidRDefault="009B36C2" w:rsidP="00E91E0F">
      <w:pPr>
        <w:jc w:val="both"/>
        <w:rPr>
          <w:sz w:val="28"/>
        </w:rPr>
      </w:pPr>
      <w:r>
        <w:rPr>
          <w:b/>
          <w:sz w:val="28"/>
        </w:rPr>
        <w:tab/>
      </w:r>
      <w:r w:rsidRPr="005A518C">
        <w:rPr>
          <w:b/>
          <w:sz w:val="28"/>
        </w:rPr>
        <w:t>Срок проведения контрольного мероприятия</w:t>
      </w:r>
      <w:r>
        <w:rPr>
          <w:b/>
          <w:sz w:val="28"/>
        </w:rPr>
        <w:t xml:space="preserve"> на объекте</w:t>
      </w:r>
      <w:r>
        <w:rPr>
          <w:sz w:val="28"/>
        </w:rPr>
        <w:t xml:space="preserve">: </w:t>
      </w:r>
      <w:r w:rsidR="00E91E0F">
        <w:rPr>
          <w:rFonts w:eastAsia="Calibri"/>
          <w:sz w:val="28"/>
          <w:szCs w:val="28"/>
          <w:lang w:eastAsia="en-US"/>
        </w:rPr>
        <w:t>с 01 по 28 </w:t>
      </w:r>
      <w:r w:rsidR="00CB7F9D">
        <w:rPr>
          <w:rFonts w:eastAsia="Calibri"/>
          <w:sz w:val="28"/>
          <w:szCs w:val="28"/>
          <w:lang w:eastAsia="en-US"/>
        </w:rPr>
        <w:t>марта 2019 года</w:t>
      </w:r>
      <w:r>
        <w:rPr>
          <w:sz w:val="28"/>
        </w:rPr>
        <w:t>.</w:t>
      </w:r>
    </w:p>
    <w:p w:rsidR="0065211B" w:rsidRDefault="00B16110" w:rsidP="00E91E0F">
      <w:pPr>
        <w:ind w:firstLine="709"/>
        <w:jc w:val="both"/>
        <w:rPr>
          <w:sz w:val="28"/>
          <w:szCs w:val="28"/>
        </w:rPr>
      </w:pPr>
      <w:r w:rsidRPr="00B16110">
        <w:rPr>
          <w:b/>
          <w:sz w:val="28"/>
          <w:szCs w:val="28"/>
        </w:rPr>
        <w:t>По результатам контрольного мероприятия установлено следующее</w:t>
      </w:r>
      <w:r w:rsidR="0065211B" w:rsidRPr="00B16110">
        <w:rPr>
          <w:b/>
          <w:sz w:val="28"/>
          <w:szCs w:val="28"/>
        </w:rPr>
        <w:t>:</w:t>
      </w:r>
    </w:p>
    <w:p w:rsidR="0009255B" w:rsidRPr="0009255B" w:rsidRDefault="0009255B" w:rsidP="00E91E0F">
      <w:pPr>
        <w:ind w:firstLine="708"/>
        <w:jc w:val="both"/>
        <w:rPr>
          <w:sz w:val="28"/>
          <w:szCs w:val="28"/>
        </w:rPr>
      </w:pPr>
      <w:r w:rsidRPr="0009255B">
        <w:rPr>
          <w:sz w:val="28"/>
          <w:szCs w:val="28"/>
        </w:rPr>
        <w:t>Годовая бюджетная отчетность об исполнении бюджета за 2018 год представлена главным распорядителем бюджетных сре</w:t>
      </w:r>
      <w:proofErr w:type="gramStart"/>
      <w:r w:rsidRPr="0009255B">
        <w:rPr>
          <w:sz w:val="28"/>
          <w:szCs w:val="28"/>
        </w:rPr>
        <w:t>дств в сбр</w:t>
      </w:r>
      <w:proofErr w:type="gramEnd"/>
      <w:r w:rsidRPr="0009255B">
        <w:rPr>
          <w:sz w:val="28"/>
          <w:szCs w:val="28"/>
        </w:rPr>
        <w:t>ошюрованном виде с нумерацией страниц, подписана руководителем и главным бухгалтером, все обязательные реквизиты форм отчетности заполнены.</w:t>
      </w:r>
    </w:p>
    <w:p w:rsidR="0009255B" w:rsidRPr="0009255B" w:rsidRDefault="0009255B" w:rsidP="00E91E0F">
      <w:pPr>
        <w:ind w:firstLine="709"/>
        <w:jc w:val="both"/>
        <w:rPr>
          <w:sz w:val="28"/>
          <w:szCs w:val="28"/>
        </w:rPr>
      </w:pPr>
      <w:r w:rsidRPr="0009255B">
        <w:rPr>
          <w:sz w:val="28"/>
          <w:szCs w:val="28"/>
        </w:rPr>
        <w:t>Отдел культуры в отчетном периоде осуществляла функции и полномочия учредителя в отношении трех бюджетных  учреждений и одного казенного учреждения.</w:t>
      </w:r>
    </w:p>
    <w:p w:rsidR="0009255B" w:rsidRPr="0009255B" w:rsidRDefault="0009255B" w:rsidP="00E91E0F">
      <w:pPr>
        <w:ind w:firstLine="708"/>
        <w:jc w:val="both"/>
        <w:rPr>
          <w:sz w:val="28"/>
          <w:szCs w:val="28"/>
        </w:rPr>
      </w:pPr>
      <w:r w:rsidRPr="0009255B">
        <w:rPr>
          <w:sz w:val="28"/>
          <w:szCs w:val="28"/>
        </w:rPr>
        <w:t>Плановые показатели, указанные в бюджетной отчетности об исполнении бюджета за 2018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09255B" w:rsidRPr="0009255B" w:rsidRDefault="0009255B" w:rsidP="00E91E0F">
      <w:pPr>
        <w:ind w:firstLine="708"/>
        <w:jc w:val="both"/>
        <w:rPr>
          <w:sz w:val="28"/>
          <w:szCs w:val="28"/>
        </w:rPr>
      </w:pPr>
      <w:proofErr w:type="gramStart"/>
      <w:r w:rsidRPr="0009255B">
        <w:rPr>
          <w:sz w:val="28"/>
          <w:szCs w:val="28"/>
        </w:rPr>
        <w:t>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roofErr w:type="gramEnd"/>
    </w:p>
    <w:p w:rsidR="0009255B" w:rsidRPr="0009255B" w:rsidRDefault="0009255B" w:rsidP="00E91E0F">
      <w:pPr>
        <w:ind w:firstLine="708"/>
        <w:jc w:val="both"/>
        <w:rPr>
          <w:sz w:val="28"/>
          <w:szCs w:val="28"/>
        </w:rPr>
      </w:pPr>
      <w:r w:rsidRPr="0009255B">
        <w:rPr>
          <w:sz w:val="28"/>
          <w:szCs w:val="28"/>
        </w:rPr>
        <w:t>Проверкой установлено:</w:t>
      </w:r>
    </w:p>
    <w:p w:rsidR="0009255B" w:rsidRPr="0009255B" w:rsidRDefault="0009255B" w:rsidP="00E91E0F">
      <w:pPr>
        <w:ind w:firstLine="708"/>
        <w:jc w:val="both"/>
        <w:rPr>
          <w:sz w:val="28"/>
          <w:szCs w:val="28"/>
        </w:rPr>
      </w:pPr>
      <w:r w:rsidRPr="0009255B">
        <w:rPr>
          <w:sz w:val="28"/>
          <w:szCs w:val="28"/>
        </w:rPr>
        <w:t xml:space="preserve">1) в нарушении пункта 6 Инструкции № 191н в формах бюджетной отчетности, содержащих плановые (прогнозные) и аналитические показатели </w:t>
      </w:r>
      <w:r w:rsidRPr="0009255B">
        <w:rPr>
          <w:sz w:val="28"/>
          <w:szCs w:val="28"/>
        </w:rPr>
        <w:lastRenderedPageBreak/>
        <w:t>отсутствуют подписи руководителя финансово-экономической службы (или лица, ответственного за формирование аналитической  информации) (ф.0503127,ф.0503128, ф. 0503160);</w:t>
      </w:r>
    </w:p>
    <w:p w:rsidR="0009255B" w:rsidRPr="0009255B" w:rsidRDefault="0009255B" w:rsidP="00E91E0F">
      <w:pPr>
        <w:ind w:firstLine="708"/>
        <w:jc w:val="both"/>
        <w:rPr>
          <w:sz w:val="28"/>
          <w:szCs w:val="28"/>
        </w:rPr>
      </w:pPr>
      <w:proofErr w:type="gramStart"/>
      <w:r w:rsidRPr="0009255B">
        <w:rPr>
          <w:sz w:val="28"/>
          <w:szCs w:val="28"/>
        </w:rPr>
        <w:t>2) отсутствие в  разделе 5 пояснительной записки (ф. 0503160) информации о перечне форм отчетности, не включенных в состав бюджетной (бухгалтерской) отчетности (указание данной информации обязательно в силу норм п. п. 8, 152 Инструкции N 191н) (« Сведения о результатах мероприятий внутреннего государственного (муниципального) финансового контроля» (ТаблицаN5); «Сведения об исполнении мероприятий в рамках целевых программ» (ф. 0503166);</w:t>
      </w:r>
      <w:proofErr w:type="gramEnd"/>
      <w:r w:rsidRPr="0009255B">
        <w:rPr>
          <w:sz w:val="28"/>
          <w:szCs w:val="28"/>
        </w:rPr>
        <w:t xml:space="preserve"> «Сведения о целевых иностранных кредитах» (ф. 0503167); «Сведения о государственном (муниципальном) долге, предоставленных бюджетных кредитах» (ф. 0503172);</w:t>
      </w:r>
    </w:p>
    <w:p w:rsidR="0009255B" w:rsidRPr="0009255B" w:rsidRDefault="0009255B" w:rsidP="00E91E0F">
      <w:pPr>
        <w:ind w:firstLine="708"/>
        <w:jc w:val="both"/>
        <w:rPr>
          <w:sz w:val="28"/>
          <w:szCs w:val="28"/>
        </w:rPr>
      </w:pPr>
      <w:r w:rsidRPr="0009255B">
        <w:rPr>
          <w:sz w:val="28"/>
          <w:szCs w:val="28"/>
        </w:rPr>
        <w:t>3) в нарушение п. 43 Инструкции N 191 в Справке по заключению счетов бюджетного учета отчетного финансового года (ф. 0503123) отсутствуют раздел 3.1. «Аналитическая информация по управлению остатками» и раздел 4 "Аналитическая информация по выбытиям". При отсутствии сведений, необходимых для заполнения разделов не заполняются, но включаются в форму;</w:t>
      </w:r>
    </w:p>
    <w:p w:rsidR="0009255B" w:rsidRPr="0009255B" w:rsidRDefault="0009255B" w:rsidP="00E91E0F">
      <w:pPr>
        <w:ind w:firstLine="708"/>
        <w:jc w:val="both"/>
        <w:rPr>
          <w:sz w:val="28"/>
          <w:szCs w:val="28"/>
        </w:rPr>
      </w:pPr>
      <w:r w:rsidRPr="0009255B">
        <w:rPr>
          <w:sz w:val="28"/>
          <w:szCs w:val="28"/>
        </w:rPr>
        <w:t xml:space="preserve">4) в нарушение п. 8 Инструкции N 191 в состав годовой бюджетной отчетности за отчетный период ввиду отсутствия числовых значений показателей, включена форма 0503162 «Сведения о результатах деятельности»; </w:t>
      </w:r>
    </w:p>
    <w:p w:rsidR="0009255B" w:rsidRPr="0009255B" w:rsidRDefault="0009255B" w:rsidP="00E91E0F">
      <w:pPr>
        <w:ind w:firstLine="708"/>
        <w:jc w:val="both"/>
        <w:rPr>
          <w:sz w:val="28"/>
          <w:szCs w:val="28"/>
        </w:rPr>
      </w:pPr>
      <w:proofErr w:type="gramStart"/>
      <w:r w:rsidRPr="0009255B">
        <w:rPr>
          <w:sz w:val="28"/>
          <w:szCs w:val="28"/>
        </w:rPr>
        <w:t>5) в нарушение требований пункта 163 Инструкции N 191н, в отчетной форме 0503164 "Сведения об исполнении бюджета" в части доходов местного бюджета не заполнена графа 9, в которой даются пояснения причин отклонения фактического исполнения доходов местного бюджета от прогноза поступлений доходов в бюджет, а также анализ исполнения доходов в части не прогнозируемых администратором доходных источников;</w:t>
      </w:r>
      <w:proofErr w:type="gramEnd"/>
    </w:p>
    <w:p w:rsidR="0009255B" w:rsidRPr="0009255B" w:rsidRDefault="0009255B" w:rsidP="00E91E0F">
      <w:pPr>
        <w:ind w:firstLine="708"/>
        <w:jc w:val="both"/>
        <w:rPr>
          <w:sz w:val="28"/>
          <w:szCs w:val="28"/>
        </w:rPr>
      </w:pPr>
      <w:proofErr w:type="gramStart"/>
      <w:r w:rsidRPr="0009255B">
        <w:rPr>
          <w:sz w:val="28"/>
          <w:szCs w:val="28"/>
        </w:rPr>
        <w:t xml:space="preserve">6) в нарушении пункта 159 Инструкции № 191н в Таблице </w:t>
      </w:r>
      <w:r w:rsidR="00E91E0F">
        <w:rPr>
          <w:sz w:val="28"/>
          <w:szCs w:val="28"/>
        </w:rPr>
        <w:t>№</w:t>
      </w:r>
      <w:r w:rsidRPr="0009255B">
        <w:rPr>
          <w:sz w:val="28"/>
          <w:szCs w:val="28"/>
        </w:rPr>
        <w:t xml:space="preserve"> 7 "Сведения о результатах внешнего государственного (муниципального) финансового контроля"  в графах 3,4 отсутствует ссылка на номер и дату акта проведенной проверки; в графах 4,5 не в полной мере указаны результаты проведенных проверок, не отражены меры, принятые субъектом бюджетной отчетности по устранению выявленных в ходе проверки нарушений;</w:t>
      </w:r>
      <w:proofErr w:type="gramEnd"/>
    </w:p>
    <w:p w:rsidR="0009255B" w:rsidRPr="0009255B" w:rsidRDefault="0009255B" w:rsidP="00E91E0F">
      <w:pPr>
        <w:ind w:firstLine="708"/>
        <w:jc w:val="both"/>
        <w:rPr>
          <w:sz w:val="28"/>
          <w:szCs w:val="28"/>
        </w:rPr>
      </w:pPr>
      <w:r w:rsidRPr="0009255B">
        <w:rPr>
          <w:sz w:val="28"/>
          <w:szCs w:val="28"/>
        </w:rPr>
        <w:t>7) в нарушении пункта 5 Инструкции № 33н в формах бухгалтерской отчетности, отсутствует подпись главного бухгалтера, в формах  содержащих плановые (прогнозные) и аналитические показатели отсутствует подпись руководителя финансово-экономической службы (или лица, ответственного за формирование аналитической  информации) (ф.0503737, ф.0503738, ф.0503762, ф. 0503766);</w:t>
      </w:r>
    </w:p>
    <w:p w:rsidR="0009255B" w:rsidRPr="0009255B" w:rsidRDefault="0009255B" w:rsidP="00E91E0F">
      <w:pPr>
        <w:ind w:firstLine="708"/>
        <w:jc w:val="both"/>
        <w:rPr>
          <w:sz w:val="28"/>
          <w:szCs w:val="28"/>
        </w:rPr>
      </w:pPr>
      <w:r w:rsidRPr="0009255B">
        <w:rPr>
          <w:sz w:val="28"/>
          <w:szCs w:val="28"/>
        </w:rPr>
        <w:t>8)  имея числовые значения, текстовые показатели включены в раздел 5: форма 0503773 «Сведения об изменении остатков валюты баланса учреждения», Сведения о результатах внешнего государственного (муниципального)</w:t>
      </w:r>
      <w:r w:rsidR="00E91E0F">
        <w:rPr>
          <w:sz w:val="28"/>
          <w:szCs w:val="28"/>
        </w:rPr>
        <w:t xml:space="preserve"> финансового контроля (таблица №</w:t>
      </w:r>
      <w:r w:rsidRPr="0009255B">
        <w:rPr>
          <w:sz w:val="28"/>
          <w:szCs w:val="28"/>
        </w:rPr>
        <w:t xml:space="preserve"> 7).</w:t>
      </w:r>
    </w:p>
    <w:p w:rsidR="0009255B" w:rsidRPr="0009255B" w:rsidRDefault="0009255B" w:rsidP="00E91E0F">
      <w:pPr>
        <w:ind w:firstLine="708"/>
        <w:jc w:val="both"/>
        <w:rPr>
          <w:sz w:val="28"/>
          <w:szCs w:val="28"/>
        </w:rPr>
      </w:pPr>
      <w:r w:rsidRPr="0009255B">
        <w:rPr>
          <w:sz w:val="28"/>
          <w:szCs w:val="28"/>
        </w:rPr>
        <w:t xml:space="preserve">Показатели представленных отчетных форм бухгалтерской отчетности по муниципальным бюджетным учреждениям отражены достоверно, соблюдены </w:t>
      </w:r>
      <w:r w:rsidRPr="0009255B">
        <w:rPr>
          <w:sz w:val="28"/>
          <w:szCs w:val="28"/>
        </w:rPr>
        <w:lastRenderedPageBreak/>
        <w:t xml:space="preserve">контрольные </w:t>
      </w:r>
      <w:proofErr w:type="gramStart"/>
      <w:r w:rsidRPr="0009255B">
        <w:rPr>
          <w:sz w:val="28"/>
          <w:szCs w:val="28"/>
        </w:rPr>
        <w:t>соотношения</w:t>
      </w:r>
      <w:proofErr w:type="gramEnd"/>
      <w:r w:rsidRPr="0009255B">
        <w:rPr>
          <w:sz w:val="28"/>
          <w:szCs w:val="28"/>
        </w:rPr>
        <w:t xml:space="preserve"> как между показателями отчетных форм, так и внутри каждой отчетной формы. </w:t>
      </w:r>
    </w:p>
    <w:p w:rsidR="0009255B" w:rsidRPr="0009255B" w:rsidRDefault="0009255B" w:rsidP="00E91E0F">
      <w:pPr>
        <w:ind w:firstLine="708"/>
        <w:jc w:val="both"/>
        <w:rPr>
          <w:sz w:val="28"/>
          <w:szCs w:val="28"/>
        </w:rPr>
      </w:pPr>
      <w:r w:rsidRPr="0009255B">
        <w:rPr>
          <w:sz w:val="28"/>
          <w:szCs w:val="28"/>
        </w:rPr>
        <w:t>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доходам составил 1937,38 тыс. рублей. Поступление доходов за отчетный период составило 2033,02 тыс. рублей или 104,9% от утвержденных бюджетных назначений.</w:t>
      </w:r>
    </w:p>
    <w:p w:rsidR="0009255B" w:rsidRPr="0009255B" w:rsidRDefault="0009255B" w:rsidP="00E91E0F">
      <w:pPr>
        <w:ind w:firstLine="708"/>
        <w:jc w:val="both"/>
        <w:rPr>
          <w:sz w:val="28"/>
          <w:szCs w:val="28"/>
        </w:rPr>
      </w:pPr>
      <w:r w:rsidRPr="0009255B">
        <w:rPr>
          <w:sz w:val="28"/>
          <w:szCs w:val="28"/>
        </w:rPr>
        <w:t>По расходам уточненный план составил 37 587,35 тыс. рублей,  исполнено 37 334,42 тыс. рублей, или 99,3 процентов. Неисполнение составило 252,93 тыс. рублей.</w:t>
      </w:r>
    </w:p>
    <w:p w:rsidR="0009255B" w:rsidRPr="0009255B" w:rsidRDefault="0009255B" w:rsidP="00E91E0F">
      <w:pPr>
        <w:ind w:firstLine="708"/>
        <w:jc w:val="both"/>
        <w:rPr>
          <w:sz w:val="28"/>
          <w:szCs w:val="28"/>
        </w:rPr>
      </w:pPr>
      <w:r w:rsidRPr="0009255B">
        <w:rPr>
          <w:sz w:val="28"/>
          <w:szCs w:val="28"/>
        </w:rPr>
        <w:t>Согласно сведениям Баланса (ф. 0503130) и в ходе проверки ф. 0503169  «Сведения о дебиторской и кредиторской задолженности» установлено наличие задолженности в размере: дебиторская задолженность – 11,18 тыс. рублей,  кредиторская задолженность – 14,25 тыс. рублей.  На 01.01.2019 просроченная дебиторская и кредиторская задолженность отсутствует.</w:t>
      </w:r>
    </w:p>
    <w:p w:rsidR="0009255B" w:rsidRPr="0009255B" w:rsidRDefault="0009255B" w:rsidP="00E91E0F">
      <w:pPr>
        <w:ind w:firstLine="708"/>
        <w:jc w:val="both"/>
        <w:rPr>
          <w:sz w:val="28"/>
          <w:szCs w:val="28"/>
        </w:rPr>
      </w:pPr>
      <w:r w:rsidRPr="0009255B">
        <w:rPr>
          <w:sz w:val="28"/>
          <w:szCs w:val="28"/>
        </w:rPr>
        <w:t xml:space="preserve">Плановый объем бюджетных ассигнований местного бюджета, администратором которых является Отдел культуры, направленных на реализацию муниципальной программы "Культура Грачевского муниципального района Ставропольского края", составил 37 531,35 тыс. рублей, исполнение сложилось  в сумме 37 278,83 тыс. рублей, или 99,3 % к объему выделенных средств.                                   </w:t>
      </w:r>
    </w:p>
    <w:p w:rsidR="0009255B" w:rsidRPr="0009255B" w:rsidRDefault="0009255B" w:rsidP="00E91E0F">
      <w:pPr>
        <w:ind w:firstLine="708"/>
        <w:jc w:val="both"/>
        <w:rPr>
          <w:sz w:val="28"/>
          <w:szCs w:val="28"/>
        </w:rPr>
      </w:pPr>
      <w:r w:rsidRPr="0009255B">
        <w:rPr>
          <w:sz w:val="28"/>
          <w:szCs w:val="28"/>
        </w:rPr>
        <w:t>По  муниципальным бюджетным учреждениям:</w:t>
      </w:r>
    </w:p>
    <w:p w:rsidR="0009255B" w:rsidRPr="0009255B" w:rsidRDefault="0009255B" w:rsidP="00E91E0F">
      <w:pPr>
        <w:ind w:firstLine="708"/>
        <w:jc w:val="both"/>
        <w:rPr>
          <w:sz w:val="28"/>
          <w:szCs w:val="28"/>
        </w:rPr>
      </w:pPr>
      <w:r w:rsidRPr="0009255B">
        <w:rPr>
          <w:sz w:val="28"/>
          <w:szCs w:val="28"/>
        </w:rPr>
        <w:t>По субсидиям на выполнение государственного (муниципального) задания по доходам утвержденные плановые  назначения со</w:t>
      </w:r>
      <w:r w:rsidR="00E91E0F">
        <w:rPr>
          <w:sz w:val="28"/>
          <w:szCs w:val="28"/>
        </w:rPr>
        <w:t>ставили 23 753,15 </w:t>
      </w:r>
      <w:r w:rsidRPr="0009255B">
        <w:rPr>
          <w:sz w:val="28"/>
          <w:szCs w:val="28"/>
        </w:rPr>
        <w:t xml:space="preserve">тыс. рублей. Поступление доходов </w:t>
      </w:r>
      <w:r w:rsidR="00E91E0F">
        <w:rPr>
          <w:sz w:val="28"/>
          <w:szCs w:val="28"/>
        </w:rPr>
        <w:t>за отчетный период составило 23 </w:t>
      </w:r>
      <w:r w:rsidRPr="0009255B">
        <w:rPr>
          <w:sz w:val="28"/>
          <w:szCs w:val="28"/>
        </w:rPr>
        <w:t xml:space="preserve">753,15 тыс. рублей или 100%. По расходам утвержденные плановые назначения составили 23 951,00 тыс. рублей,  исполнено 23 557,80 тыс. рублей или 98,4 процентов. </w:t>
      </w:r>
    </w:p>
    <w:p w:rsidR="0009255B" w:rsidRPr="0009255B" w:rsidRDefault="0009255B" w:rsidP="00E91E0F">
      <w:pPr>
        <w:ind w:firstLine="709"/>
        <w:jc w:val="both"/>
        <w:rPr>
          <w:sz w:val="28"/>
          <w:szCs w:val="28"/>
        </w:rPr>
      </w:pPr>
      <w:r w:rsidRPr="0009255B">
        <w:rPr>
          <w:sz w:val="28"/>
          <w:szCs w:val="28"/>
        </w:rPr>
        <w:t xml:space="preserve">По субсидиям на иные цели по доходам утвержденные плановые  назначения составили 7 593,92 тыс. рублей. Поступление доходов за отчетный период составило 7 364,30 тыс. рублей или 97,0 процентов. По расходам утвержденные плановые назначения  составили  32 060,17 тыс. рублей,  исполнено 31 830,55 тыс. рублей или 99,3 процентов. </w:t>
      </w:r>
    </w:p>
    <w:p w:rsidR="0009255B" w:rsidRPr="0009255B" w:rsidRDefault="0009255B" w:rsidP="00E91E0F">
      <w:pPr>
        <w:ind w:firstLine="708"/>
        <w:jc w:val="both"/>
        <w:rPr>
          <w:sz w:val="28"/>
          <w:szCs w:val="28"/>
        </w:rPr>
      </w:pPr>
      <w:r w:rsidRPr="0009255B">
        <w:rPr>
          <w:sz w:val="28"/>
          <w:szCs w:val="28"/>
        </w:rPr>
        <w:t xml:space="preserve">По приносящей доход деятельности (собственные доходы учреждения) по доходам утвержденные плановые  назначения составили 1 146,44 тыс. рублей. Поступление доходов за отчетный период составило 1 082,03 тыс. рублей или 94,4%. По расходам утвержденные плановые назначения составили  1 456,78 тыс. рублей,  исполнено 962,30 тыс. рублей или 66,1 процента. </w:t>
      </w:r>
    </w:p>
    <w:p w:rsidR="0009255B" w:rsidRPr="0009255B" w:rsidRDefault="0009255B" w:rsidP="00E91E0F">
      <w:pPr>
        <w:ind w:firstLine="708"/>
        <w:jc w:val="both"/>
        <w:rPr>
          <w:sz w:val="28"/>
          <w:szCs w:val="28"/>
        </w:rPr>
      </w:pPr>
      <w:r w:rsidRPr="0009255B">
        <w:rPr>
          <w:sz w:val="28"/>
          <w:szCs w:val="28"/>
        </w:rPr>
        <w:t>Дебиторская задолженность по субсидиям на выполнения муниципального задания по состоянию на 01.01.2019 составила 111,78 тыс. рублей: по счету 0 20600000 - 107,38 тыс. руб</w:t>
      </w:r>
      <w:r w:rsidR="00E91E0F">
        <w:rPr>
          <w:sz w:val="28"/>
          <w:szCs w:val="28"/>
        </w:rPr>
        <w:t>лей; по счету  0 30300000 - 4,4 </w:t>
      </w:r>
      <w:r w:rsidRPr="0009255B">
        <w:rPr>
          <w:sz w:val="28"/>
          <w:szCs w:val="28"/>
        </w:rPr>
        <w:t>тыс. рублей.</w:t>
      </w:r>
    </w:p>
    <w:p w:rsidR="0009255B" w:rsidRPr="0009255B" w:rsidRDefault="0009255B" w:rsidP="00E91E0F">
      <w:pPr>
        <w:ind w:firstLine="708"/>
        <w:jc w:val="both"/>
        <w:rPr>
          <w:sz w:val="28"/>
          <w:szCs w:val="28"/>
        </w:rPr>
      </w:pPr>
      <w:r w:rsidRPr="0009255B">
        <w:rPr>
          <w:sz w:val="28"/>
          <w:szCs w:val="28"/>
        </w:rPr>
        <w:lastRenderedPageBreak/>
        <w:t>Общая кредиторская задолженность по состоянию на 01.01.2019 по субсидиям на выполнения муниципального задания составила 47,44 тыс. рублей, в том числе: по счету 030200000 -</w:t>
      </w:r>
      <w:r w:rsidR="00E91E0F">
        <w:rPr>
          <w:sz w:val="28"/>
          <w:szCs w:val="28"/>
        </w:rPr>
        <w:t xml:space="preserve"> 44,83 тыс. рублей; по счету  0 </w:t>
      </w:r>
      <w:r w:rsidRPr="0009255B">
        <w:rPr>
          <w:sz w:val="28"/>
          <w:szCs w:val="28"/>
        </w:rPr>
        <w:t>30300000 - 2,51 тыс. рублей.</w:t>
      </w:r>
    </w:p>
    <w:p w:rsidR="0009255B" w:rsidRPr="0009255B" w:rsidRDefault="0009255B" w:rsidP="00E91E0F">
      <w:pPr>
        <w:ind w:firstLine="708"/>
        <w:jc w:val="both"/>
        <w:rPr>
          <w:sz w:val="28"/>
          <w:szCs w:val="28"/>
        </w:rPr>
      </w:pPr>
      <w:r w:rsidRPr="0009255B">
        <w:rPr>
          <w:sz w:val="28"/>
          <w:szCs w:val="28"/>
        </w:rPr>
        <w:t>Дебиторская задолженность по приносящей доход деятельности по счету 0 20500000 - составила 23,10 тыс. рублей. Общая кредиторская задолженность по состоянию на 01.01.2019 по приносящей до</w:t>
      </w:r>
      <w:r w:rsidR="00E91E0F">
        <w:rPr>
          <w:sz w:val="28"/>
          <w:szCs w:val="28"/>
        </w:rPr>
        <w:t>ход деятельности составила 7,85 </w:t>
      </w:r>
      <w:r w:rsidRPr="0009255B">
        <w:rPr>
          <w:sz w:val="28"/>
          <w:szCs w:val="28"/>
        </w:rPr>
        <w:t>тыс. рублей.</w:t>
      </w:r>
    </w:p>
    <w:p w:rsidR="0009255B" w:rsidRPr="0009255B" w:rsidRDefault="0009255B" w:rsidP="00E91E0F">
      <w:pPr>
        <w:ind w:firstLine="708"/>
        <w:jc w:val="both"/>
        <w:rPr>
          <w:sz w:val="28"/>
          <w:szCs w:val="28"/>
        </w:rPr>
      </w:pPr>
      <w:r w:rsidRPr="0009255B">
        <w:rPr>
          <w:sz w:val="28"/>
          <w:szCs w:val="28"/>
        </w:rPr>
        <w:t xml:space="preserve">Просроченная дебиторская и кредиторская задолженность отсутствует.      </w:t>
      </w:r>
    </w:p>
    <w:p w:rsidR="0049338E" w:rsidRDefault="0009255B" w:rsidP="00E91E0F">
      <w:pPr>
        <w:ind w:firstLine="708"/>
        <w:jc w:val="both"/>
        <w:rPr>
          <w:sz w:val="28"/>
          <w:szCs w:val="28"/>
        </w:rPr>
      </w:pPr>
      <w:r w:rsidRPr="0009255B">
        <w:rPr>
          <w:sz w:val="28"/>
          <w:szCs w:val="28"/>
        </w:rPr>
        <w:t>По результатам проведенной внешней проверки бюджетной, сводной бухгалтерской  отчетности Отдела культуры за 2018 год Контрольно-счетная комиссия считает, что отраженные в настоящем заключении нарушения не оказали существенного влияния на достоверность бюджетной (бухгалтерской)  отчетности.</w:t>
      </w:r>
      <w:r w:rsidR="000C129D">
        <w:rPr>
          <w:sz w:val="28"/>
          <w:szCs w:val="28"/>
        </w:rPr>
        <w:tab/>
      </w:r>
    </w:p>
    <w:p w:rsidR="00747E05" w:rsidRDefault="00747E05" w:rsidP="00E91E0F">
      <w:pPr>
        <w:ind w:firstLine="708"/>
        <w:jc w:val="both"/>
        <w:rPr>
          <w:sz w:val="28"/>
          <w:szCs w:val="28"/>
        </w:rPr>
      </w:pPr>
    </w:p>
    <w:p w:rsidR="00093F08" w:rsidRPr="007258CD" w:rsidRDefault="00C67C08" w:rsidP="00E91E0F">
      <w:pPr>
        <w:ind w:firstLine="708"/>
        <w:jc w:val="both"/>
        <w:rPr>
          <w:rFonts w:eastAsiaTheme="minorHAnsi"/>
          <w:sz w:val="28"/>
          <w:szCs w:val="28"/>
          <w:u w:val="single"/>
          <w:lang w:eastAsia="en-US"/>
        </w:rPr>
      </w:pPr>
      <w:r w:rsidRPr="00B16110">
        <w:rPr>
          <w:rFonts w:eastAsiaTheme="minorHAnsi"/>
          <w:b/>
          <w:sz w:val="28"/>
          <w:szCs w:val="28"/>
          <w:lang w:eastAsia="en-US"/>
        </w:rPr>
        <w:t>Предложения:</w:t>
      </w:r>
    </w:p>
    <w:p w:rsidR="0009255B" w:rsidRPr="0009255B" w:rsidRDefault="0009255B" w:rsidP="00E91E0F">
      <w:pPr>
        <w:suppressAutoHyphens/>
        <w:spacing w:line="200" w:lineRule="atLeast"/>
        <w:ind w:firstLine="708"/>
        <w:jc w:val="both"/>
        <w:rPr>
          <w:sz w:val="28"/>
          <w:szCs w:val="28"/>
        </w:rPr>
      </w:pPr>
      <w:r w:rsidRPr="0009255B">
        <w:rPr>
          <w:sz w:val="28"/>
          <w:szCs w:val="28"/>
        </w:rPr>
        <w:t>На основании проведенной внешней проверки бюджетной отчетности Отдела культуры за 2018 год Контрольно-счетная комиссия рекомендует:</w:t>
      </w:r>
    </w:p>
    <w:p w:rsidR="0009255B" w:rsidRPr="0009255B" w:rsidRDefault="0009255B" w:rsidP="00E91E0F">
      <w:pPr>
        <w:suppressAutoHyphens/>
        <w:spacing w:line="200" w:lineRule="atLeast"/>
        <w:ind w:firstLine="708"/>
        <w:jc w:val="both"/>
        <w:rPr>
          <w:sz w:val="28"/>
          <w:szCs w:val="28"/>
        </w:rPr>
      </w:pPr>
      <w:r w:rsidRPr="0009255B">
        <w:rPr>
          <w:sz w:val="28"/>
          <w:szCs w:val="28"/>
        </w:rPr>
        <w:t>1. 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9255B" w:rsidRPr="0009255B" w:rsidRDefault="0009255B" w:rsidP="00E91E0F">
      <w:pPr>
        <w:suppressAutoHyphens/>
        <w:spacing w:line="200" w:lineRule="atLeast"/>
        <w:ind w:firstLine="708"/>
        <w:jc w:val="both"/>
        <w:rPr>
          <w:sz w:val="28"/>
          <w:szCs w:val="28"/>
        </w:rPr>
      </w:pPr>
      <w:r w:rsidRPr="0009255B">
        <w:rPr>
          <w:sz w:val="28"/>
          <w:szCs w:val="28"/>
        </w:rPr>
        <w:t>2. отражать в формах годовой  отчетности более полную и достоверную информацию об исполнении доходной и расходной частей бюджета, о дебиторской (кредиторской) задолженности, соблюдать сопоставимость показателей представленных документов;</w:t>
      </w:r>
    </w:p>
    <w:p w:rsidR="00CB7F9D" w:rsidRPr="00FA62B3" w:rsidRDefault="0009255B" w:rsidP="00E91E0F">
      <w:pPr>
        <w:suppressAutoHyphens/>
        <w:spacing w:line="200" w:lineRule="atLeast"/>
        <w:ind w:firstLine="708"/>
        <w:jc w:val="both"/>
        <w:rPr>
          <w:sz w:val="28"/>
        </w:rPr>
      </w:pPr>
      <w:r w:rsidRPr="0009255B">
        <w:rPr>
          <w:sz w:val="28"/>
          <w:szCs w:val="28"/>
        </w:rPr>
        <w:t xml:space="preserve">3. усилить внутренний финансовый </w:t>
      </w:r>
      <w:proofErr w:type="gramStart"/>
      <w:r w:rsidRPr="0009255B">
        <w:rPr>
          <w:sz w:val="28"/>
          <w:szCs w:val="28"/>
        </w:rPr>
        <w:t>контроль за</w:t>
      </w:r>
      <w:proofErr w:type="gramEnd"/>
      <w:r w:rsidRPr="0009255B">
        <w:rPr>
          <w:sz w:val="28"/>
          <w:szCs w:val="28"/>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r w:rsidR="00747E05" w:rsidRPr="00747E05">
        <w:rPr>
          <w:sz w:val="28"/>
          <w:szCs w:val="28"/>
        </w:rPr>
        <w:t>.</w:t>
      </w:r>
    </w:p>
    <w:p w:rsidR="0092526B" w:rsidRDefault="0092526B" w:rsidP="00E91E0F">
      <w:pPr>
        <w:autoSpaceDE w:val="0"/>
        <w:autoSpaceDN w:val="0"/>
        <w:adjustRightInd w:val="0"/>
        <w:ind w:firstLine="540"/>
        <w:jc w:val="both"/>
        <w:rPr>
          <w:rFonts w:eastAsiaTheme="minorHAnsi"/>
          <w:sz w:val="28"/>
          <w:szCs w:val="28"/>
          <w:lang w:eastAsia="en-US"/>
        </w:rPr>
      </w:pPr>
    </w:p>
    <w:p w:rsidR="00CB7F9D" w:rsidRDefault="00CB7F9D" w:rsidP="00E91E0F">
      <w:pPr>
        <w:autoSpaceDE w:val="0"/>
        <w:autoSpaceDN w:val="0"/>
        <w:adjustRightInd w:val="0"/>
        <w:ind w:firstLine="540"/>
        <w:jc w:val="both"/>
        <w:rPr>
          <w:rFonts w:eastAsiaTheme="minorHAnsi"/>
          <w:sz w:val="28"/>
          <w:szCs w:val="28"/>
          <w:lang w:eastAsia="en-US"/>
        </w:rPr>
      </w:pPr>
    </w:p>
    <w:p w:rsidR="00CB7F9D" w:rsidRPr="00AF37C5" w:rsidRDefault="00CB7F9D" w:rsidP="00E91E0F">
      <w:pPr>
        <w:autoSpaceDE w:val="0"/>
        <w:autoSpaceDN w:val="0"/>
        <w:adjustRightInd w:val="0"/>
        <w:ind w:firstLine="540"/>
        <w:jc w:val="both"/>
        <w:rPr>
          <w:rFonts w:eastAsiaTheme="minorHAnsi"/>
          <w:sz w:val="28"/>
          <w:szCs w:val="28"/>
          <w:lang w:eastAsia="en-US"/>
        </w:rPr>
      </w:pPr>
      <w:bookmarkStart w:id="0" w:name="_GoBack"/>
      <w:bookmarkEnd w:id="0"/>
    </w:p>
    <w:sectPr w:rsidR="00CB7F9D" w:rsidRPr="00AF37C5" w:rsidSect="00A30D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1325A"/>
    <w:rsid w:val="00026757"/>
    <w:rsid w:val="00026CD2"/>
    <w:rsid w:val="00046F84"/>
    <w:rsid w:val="00050181"/>
    <w:rsid w:val="0005430C"/>
    <w:rsid w:val="00065133"/>
    <w:rsid w:val="000821E6"/>
    <w:rsid w:val="000910B1"/>
    <w:rsid w:val="0009255B"/>
    <w:rsid w:val="00093F08"/>
    <w:rsid w:val="00094DF9"/>
    <w:rsid w:val="00095536"/>
    <w:rsid w:val="000A023A"/>
    <w:rsid w:val="000A5C31"/>
    <w:rsid w:val="000A73B8"/>
    <w:rsid w:val="000B1FFC"/>
    <w:rsid w:val="000C129D"/>
    <w:rsid w:val="000C58BE"/>
    <w:rsid w:val="000D5D9A"/>
    <w:rsid w:val="000F1992"/>
    <w:rsid w:val="00111D31"/>
    <w:rsid w:val="0013295C"/>
    <w:rsid w:val="001338DC"/>
    <w:rsid w:val="0014131A"/>
    <w:rsid w:val="00141F63"/>
    <w:rsid w:val="001433D0"/>
    <w:rsid w:val="001475A1"/>
    <w:rsid w:val="001505F9"/>
    <w:rsid w:val="001560B4"/>
    <w:rsid w:val="00156C4D"/>
    <w:rsid w:val="00173B30"/>
    <w:rsid w:val="001762C4"/>
    <w:rsid w:val="0018531C"/>
    <w:rsid w:val="00191A30"/>
    <w:rsid w:val="00192290"/>
    <w:rsid w:val="001939D9"/>
    <w:rsid w:val="001A1B98"/>
    <w:rsid w:val="001A52E8"/>
    <w:rsid w:val="001B7868"/>
    <w:rsid w:val="001C00E9"/>
    <w:rsid w:val="001C44F7"/>
    <w:rsid w:val="001D55F9"/>
    <w:rsid w:val="001E10F4"/>
    <w:rsid w:val="001F33A2"/>
    <w:rsid w:val="001F49E0"/>
    <w:rsid w:val="001F741C"/>
    <w:rsid w:val="002045BA"/>
    <w:rsid w:val="00222532"/>
    <w:rsid w:val="00230205"/>
    <w:rsid w:val="0023428C"/>
    <w:rsid w:val="00234A14"/>
    <w:rsid w:val="00252D92"/>
    <w:rsid w:val="002708BD"/>
    <w:rsid w:val="0027111B"/>
    <w:rsid w:val="00277DDE"/>
    <w:rsid w:val="00280787"/>
    <w:rsid w:val="00292753"/>
    <w:rsid w:val="00294698"/>
    <w:rsid w:val="002A7AC0"/>
    <w:rsid w:val="002D3F6F"/>
    <w:rsid w:val="002D4825"/>
    <w:rsid w:val="002E1B93"/>
    <w:rsid w:val="00301B68"/>
    <w:rsid w:val="00310478"/>
    <w:rsid w:val="00311FD8"/>
    <w:rsid w:val="0031689D"/>
    <w:rsid w:val="0032268B"/>
    <w:rsid w:val="00325860"/>
    <w:rsid w:val="00330424"/>
    <w:rsid w:val="00341966"/>
    <w:rsid w:val="0034670C"/>
    <w:rsid w:val="00373EAD"/>
    <w:rsid w:val="003862D9"/>
    <w:rsid w:val="003A0A6D"/>
    <w:rsid w:val="003A6F70"/>
    <w:rsid w:val="003B2654"/>
    <w:rsid w:val="003B5624"/>
    <w:rsid w:val="003B63EC"/>
    <w:rsid w:val="003C2B11"/>
    <w:rsid w:val="003E125F"/>
    <w:rsid w:val="003E1DFC"/>
    <w:rsid w:val="003F775B"/>
    <w:rsid w:val="004042B6"/>
    <w:rsid w:val="00410B1C"/>
    <w:rsid w:val="00427A69"/>
    <w:rsid w:val="00432DB5"/>
    <w:rsid w:val="0043552A"/>
    <w:rsid w:val="004360FA"/>
    <w:rsid w:val="004408E0"/>
    <w:rsid w:val="00447226"/>
    <w:rsid w:val="004473A2"/>
    <w:rsid w:val="00454FBE"/>
    <w:rsid w:val="004712BB"/>
    <w:rsid w:val="004743C9"/>
    <w:rsid w:val="00476D65"/>
    <w:rsid w:val="00484B69"/>
    <w:rsid w:val="0049094A"/>
    <w:rsid w:val="0049338E"/>
    <w:rsid w:val="004A46CB"/>
    <w:rsid w:val="004B3D31"/>
    <w:rsid w:val="004B47FE"/>
    <w:rsid w:val="004C0AA0"/>
    <w:rsid w:val="004D126A"/>
    <w:rsid w:val="004D495C"/>
    <w:rsid w:val="004D58B2"/>
    <w:rsid w:val="004E7853"/>
    <w:rsid w:val="00507FAD"/>
    <w:rsid w:val="00510756"/>
    <w:rsid w:val="005144CE"/>
    <w:rsid w:val="00515FC0"/>
    <w:rsid w:val="00534FF2"/>
    <w:rsid w:val="0053654A"/>
    <w:rsid w:val="00537596"/>
    <w:rsid w:val="005463E7"/>
    <w:rsid w:val="00551D36"/>
    <w:rsid w:val="00552986"/>
    <w:rsid w:val="0056780C"/>
    <w:rsid w:val="00572DCD"/>
    <w:rsid w:val="00574423"/>
    <w:rsid w:val="005747FF"/>
    <w:rsid w:val="005819E4"/>
    <w:rsid w:val="00586C73"/>
    <w:rsid w:val="00594DE9"/>
    <w:rsid w:val="005A14ED"/>
    <w:rsid w:val="005A2728"/>
    <w:rsid w:val="005C1F82"/>
    <w:rsid w:val="005C1FD0"/>
    <w:rsid w:val="005D0ABD"/>
    <w:rsid w:val="005D15F4"/>
    <w:rsid w:val="005D3E53"/>
    <w:rsid w:val="005E19DE"/>
    <w:rsid w:val="005E2DA1"/>
    <w:rsid w:val="005E3EB7"/>
    <w:rsid w:val="005E6652"/>
    <w:rsid w:val="005F180E"/>
    <w:rsid w:val="005F1C7E"/>
    <w:rsid w:val="006076DA"/>
    <w:rsid w:val="00611173"/>
    <w:rsid w:val="00617A93"/>
    <w:rsid w:val="006407A0"/>
    <w:rsid w:val="00650207"/>
    <w:rsid w:val="00650CDD"/>
    <w:rsid w:val="0065211B"/>
    <w:rsid w:val="00663DA8"/>
    <w:rsid w:val="00664B60"/>
    <w:rsid w:val="0066725F"/>
    <w:rsid w:val="00672F01"/>
    <w:rsid w:val="006737BC"/>
    <w:rsid w:val="0069571D"/>
    <w:rsid w:val="0069670A"/>
    <w:rsid w:val="00697BBC"/>
    <w:rsid w:val="006A1DAF"/>
    <w:rsid w:val="006C2044"/>
    <w:rsid w:val="006C268F"/>
    <w:rsid w:val="006C6D21"/>
    <w:rsid w:val="006C714A"/>
    <w:rsid w:val="006D2149"/>
    <w:rsid w:val="006D6231"/>
    <w:rsid w:val="006E404B"/>
    <w:rsid w:val="006F0941"/>
    <w:rsid w:val="00700B66"/>
    <w:rsid w:val="0071722C"/>
    <w:rsid w:val="007258CD"/>
    <w:rsid w:val="007273C2"/>
    <w:rsid w:val="0073235B"/>
    <w:rsid w:val="00737B6E"/>
    <w:rsid w:val="00747E05"/>
    <w:rsid w:val="00765317"/>
    <w:rsid w:val="0076562A"/>
    <w:rsid w:val="0077048A"/>
    <w:rsid w:val="007721A3"/>
    <w:rsid w:val="007867DD"/>
    <w:rsid w:val="00792B6E"/>
    <w:rsid w:val="00795F5A"/>
    <w:rsid w:val="007A00A1"/>
    <w:rsid w:val="007B045D"/>
    <w:rsid w:val="007B4586"/>
    <w:rsid w:val="007C48AC"/>
    <w:rsid w:val="007D0FF3"/>
    <w:rsid w:val="007D2109"/>
    <w:rsid w:val="007D225F"/>
    <w:rsid w:val="007E0CD8"/>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B0505"/>
    <w:rsid w:val="008B4E1F"/>
    <w:rsid w:val="008C2CD1"/>
    <w:rsid w:val="008C583D"/>
    <w:rsid w:val="008D5CE2"/>
    <w:rsid w:val="008E37AF"/>
    <w:rsid w:val="008E4F8C"/>
    <w:rsid w:val="008F5E9C"/>
    <w:rsid w:val="00901642"/>
    <w:rsid w:val="00913B9C"/>
    <w:rsid w:val="0091699D"/>
    <w:rsid w:val="00924349"/>
    <w:rsid w:val="0092526B"/>
    <w:rsid w:val="00936B71"/>
    <w:rsid w:val="00942C40"/>
    <w:rsid w:val="00957998"/>
    <w:rsid w:val="009607E4"/>
    <w:rsid w:val="0098638F"/>
    <w:rsid w:val="009A0200"/>
    <w:rsid w:val="009B36C2"/>
    <w:rsid w:val="009B4252"/>
    <w:rsid w:val="009B589B"/>
    <w:rsid w:val="009C0FCF"/>
    <w:rsid w:val="009C332D"/>
    <w:rsid w:val="009C579A"/>
    <w:rsid w:val="009D0719"/>
    <w:rsid w:val="009D31BC"/>
    <w:rsid w:val="009D3E39"/>
    <w:rsid w:val="009E15E5"/>
    <w:rsid w:val="009E25DB"/>
    <w:rsid w:val="00A001F9"/>
    <w:rsid w:val="00A0713F"/>
    <w:rsid w:val="00A24AC2"/>
    <w:rsid w:val="00A2540E"/>
    <w:rsid w:val="00A30D7B"/>
    <w:rsid w:val="00A50FD0"/>
    <w:rsid w:val="00A53312"/>
    <w:rsid w:val="00A6029D"/>
    <w:rsid w:val="00A6061A"/>
    <w:rsid w:val="00A667A1"/>
    <w:rsid w:val="00A74985"/>
    <w:rsid w:val="00A75AF5"/>
    <w:rsid w:val="00A7785D"/>
    <w:rsid w:val="00A8400B"/>
    <w:rsid w:val="00A85586"/>
    <w:rsid w:val="00A96A05"/>
    <w:rsid w:val="00A97C95"/>
    <w:rsid w:val="00AC291E"/>
    <w:rsid w:val="00AC728D"/>
    <w:rsid w:val="00AD5617"/>
    <w:rsid w:val="00AE605E"/>
    <w:rsid w:val="00AE7BEF"/>
    <w:rsid w:val="00AF10D4"/>
    <w:rsid w:val="00B0413C"/>
    <w:rsid w:val="00B12EAB"/>
    <w:rsid w:val="00B138D3"/>
    <w:rsid w:val="00B16110"/>
    <w:rsid w:val="00B26DE3"/>
    <w:rsid w:val="00B27102"/>
    <w:rsid w:val="00B41810"/>
    <w:rsid w:val="00B55626"/>
    <w:rsid w:val="00B60410"/>
    <w:rsid w:val="00B63000"/>
    <w:rsid w:val="00B65697"/>
    <w:rsid w:val="00B66C3A"/>
    <w:rsid w:val="00B72082"/>
    <w:rsid w:val="00B73E3D"/>
    <w:rsid w:val="00B860A3"/>
    <w:rsid w:val="00B97D12"/>
    <w:rsid w:val="00BA5C21"/>
    <w:rsid w:val="00BC303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2EBF"/>
    <w:rsid w:val="00C73146"/>
    <w:rsid w:val="00C767C3"/>
    <w:rsid w:val="00C94777"/>
    <w:rsid w:val="00C97457"/>
    <w:rsid w:val="00CB4D5F"/>
    <w:rsid w:val="00CB7F9D"/>
    <w:rsid w:val="00CC123C"/>
    <w:rsid w:val="00CC4235"/>
    <w:rsid w:val="00CE3080"/>
    <w:rsid w:val="00CE6BB5"/>
    <w:rsid w:val="00D1356E"/>
    <w:rsid w:val="00D31997"/>
    <w:rsid w:val="00D33C37"/>
    <w:rsid w:val="00D373F0"/>
    <w:rsid w:val="00D54004"/>
    <w:rsid w:val="00D551A0"/>
    <w:rsid w:val="00D6550F"/>
    <w:rsid w:val="00D81C99"/>
    <w:rsid w:val="00D8383C"/>
    <w:rsid w:val="00D92852"/>
    <w:rsid w:val="00D93865"/>
    <w:rsid w:val="00D940D6"/>
    <w:rsid w:val="00D97058"/>
    <w:rsid w:val="00D971F5"/>
    <w:rsid w:val="00DA4724"/>
    <w:rsid w:val="00DA69FB"/>
    <w:rsid w:val="00DB5507"/>
    <w:rsid w:val="00DC61FE"/>
    <w:rsid w:val="00DD2762"/>
    <w:rsid w:val="00DD28E1"/>
    <w:rsid w:val="00DE4A14"/>
    <w:rsid w:val="00DF406A"/>
    <w:rsid w:val="00E00B98"/>
    <w:rsid w:val="00E01D1D"/>
    <w:rsid w:val="00E220FE"/>
    <w:rsid w:val="00E22DC1"/>
    <w:rsid w:val="00E2390B"/>
    <w:rsid w:val="00E340EE"/>
    <w:rsid w:val="00E445E3"/>
    <w:rsid w:val="00E6148C"/>
    <w:rsid w:val="00E6482F"/>
    <w:rsid w:val="00E757ED"/>
    <w:rsid w:val="00E75C7D"/>
    <w:rsid w:val="00E8027E"/>
    <w:rsid w:val="00E86F63"/>
    <w:rsid w:val="00E91E0F"/>
    <w:rsid w:val="00E920D7"/>
    <w:rsid w:val="00E92B6A"/>
    <w:rsid w:val="00E935D2"/>
    <w:rsid w:val="00EA169E"/>
    <w:rsid w:val="00EA6C77"/>
    <w:rsid w:val="00EB33D8"/>
    <w:rsid w:val="00EC24D6"/>
    <w:rsid w:val="00EC68E7"/>
    <w:rsid w:val="00EF6CE5"/>
    <w:rsid w:val="00F07287"/>
    <w:rsid w:val="00F15730"/>
    <w:rsid w:val="00F167A8"/>
    <w:rsid w:val="00F24275"/>
    <w:rsid w:val="00F24BAD"/>
    <w:rsid w:val="00F273AF"/>
    <w:rsid w:val="00F34F07"/>
    <w:rsid w:val="00F37DDE"/>
    <w:rsid w:val="00F4125D"/>
    <w:rsid w:val="00F56299"/>
    <w:rsid w:val="00F6288C"/>
    <w:rsid w:val="00F67A15"/>
    <w:rsid w:val="00F903CD"/>
    <w:rsid w:val="00F92323"/>
    <w:rsid w:val="00F97048"/>
    <w:rsid w:val="00FA4326"/>
    <w:rsid w:val="00FA566D"/>
    <w:rsid w:val="00FB40C1"/>
    <w:rsid w:val="00FE2522"/>
    <w:rsid w:val="00FE6330"/>
    <w:rsid w:val="00FE75E1"/>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CA71-3B77-493D-A6BC-3562E15C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2018-07-17T07:41:00Z</cp:lastPrinted>
  <dcterms:created xsi:type="dcterms:W3CDTF">2019-12-25T06:42:00Z</dcterms:created>
  <dcterms:modified xsi:type="dcterms:W3CDTF">2019-12-25T06:42:00Z</dcterms:modified>
</cp:coreProperties>
</file>