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EC4566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EC4566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Pr="00D947C1">
        <w:rPr>
          <w:b/>
        </w:rPr>
        <w:t>контрольного мероприятия</w:t>
      </w:r>
      <w:r w:rsidRPr="00D947C1">
        <w:t xml:space="preserve"> </w:t>
      </w:r>
    </w:p>
    <w:p w:rsidR="005E0B8B" w:rsidRPr="00D947C1" w:rsidRDefault="005E0B8B" w:rsidP="00EC4566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ED30C9" w:rsidRPr="00ED30C9">
        <w:t xml:space="preserve">финансового управления администрации </w:t>
      </w:r>
      <w:proofErr w:type="spellStart"/>
      <w:r w:rsidR="00ED30C9" w:rsidRPr="00ED30C9">
        <w:t>Грачевского</w:t>
      </w:r>
      <w:proofErr w:type="spellEnd"/>
      <w:r w:rsidR="00ED30C9" w:rsidRPr="00ED30C9">
        <w:t xml:space="preserve"> муниципального района Ставропольского края за 2019 год</w:t>
      </w:r>
      <w:r w:rsidRPr="00D947C1">
        <w:t xml:space="preserve">» </w:t>
      </w:r>
    </w:p>
    <w:p w:rsidR="005E0B8B" w:rsidRPr="00D947C1" w:rsidRDefault="005E0B8B" w:rsidP="00EC4566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EC4566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EC4566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648D0" w:rsidRPr="00D947C1">
        <w:rPr>
          <w:rFonts w:eastAsia="Calibri"/>
          <w:b/>
          <w:lang w:eastAsia="en-US"/>
        </w:rPr>
        <w:t>контрольного</w:t>
      </w:r>
      <w:r w:rsidR="005E0B8B" w:rsidRPr="00D947C1">
        <w:rPr>
          <w:b/>
          <w:lang w:eastAsia="ar-SA"/>
        </w:rPr>
        <w:t xml:space="preserve"> мероприятия: </w:t>
      </w:r>
      <w:r w:rsidR="00ED30C9" w:rsidRPr="00ED30C9">
        <w:rPr>
          <w:rFonts w:eastAsia="Calibri"/>
          <w:lang w:eastAsia="en-US"/>
        </w:rPr>
        <w:t xml:space="preserve">статья 264.4 Бюджетного кодекса Российской Федерации, пункт 12.3, 58.3 Положения о бюджетном процессе в </w:t>
      </w:r>
      <w:proofErr w:type="spellStart"/>
      <w:r w:rsidR="00ED30C9" w:rsidRPr="00ED30C9">
        <w:rPr>
          <w:rFonts w:eastAsia="Calibri"/>
          <w:lang w:eastAsia="en-US"/>
        </w:rPr>
        <w:t>Грачевском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муниципальном районе Ставропольского края, утвержденного решением Совета </w:t>
      </w:r>
      <w:proofErr w:type="spellStart"/>
      <w:r w:rsidR="00ED30C9" w:rsidRPr="00ED30C9">
        <w:rPr>
          <w:rFonts w:eastAsia="Calibri"/>
          <w:lang w:eastAsia="en-US"/>
        </w:rPr>
        <w:t>Грачевского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муниципального района Ставропольского края от 03.10.2017 № 289-III,  пункт 2.3 Плана  работы  Контрольно-счетной комиссии  </w:t>
      </w:r>
      <w:proofErr w:type="spellStart"/>
      <w:r w:rsidR="00ED30C9" w:rsidRPr="00ED30C9">
        <w:rPr>
          <w:rFonts w:eastAsia="Calibri"/>
          <w:lang w:eastAsia="en-US"/>
        </w:rPr>
        <w:t>Грачевского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муниципального района Ставропольского края на 2020 год, утвержденного приказом председателя Контрольно-счетной комиссии  </w:t>
      </w:r>
      <w:proofErr w:type="spellStart"/>
      <w:r w:rsidR="00ED30C9" w:rsidRPr="00ED30C9">
        <w:rPr>
          <w:rFonts w:eastAsia="Calibri"/>
          <w:lang w:eastAsia="en-US"/>
        </w:rPr>
        <w:t>Грачевского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муниципального района Ставропольского края от</w:t>
      </w:r>
      <w:proofErr w:type="gramEnd"/>
      <w:r w:rsidR="00ED30C9" w:rsidRPr="00ED30C9">
        <w:rPr>
          <w:rFonts w:eastAsia="Calibri"/>
          <w:lang w:eastAsia="en-US"/>
        </w:rPr>
        <w:t xml:space="preserve"> 27.12.2019 № 29, распоряжения Контрольно-счетной комиссии </w:t>
      </w:r>
      <w:proofErr w:type="spellStart"/>
      <w:r w:rsidR="00ED30C9" w:rsidRPr="00ED30C9">
        <w:rPr>
          <w:rFonts w:eastAsia="Calibri"/>
          <w:lang w:eastAsia="en-US"/>
        </w:rPr>
        <w:t>Грачевского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муниципального района Ставропольского края от 01 апреля 2020 года № 17 «О проведении внешней проверки годовой бюджетной отчетности финансового управления администрации </w:t>
      </w:r>
      <w:proofErr w:type="spellStart"/>
      <w:r w:rsidR="00ED30C9" w:rsidRPr="00ED30C9">
        <w:rPr>
          <w:rFonts w:eastAsia="Calibri"/>
          <w:lang w:eastAsia="en-US"/>
        </w:rPr>
        <w:t>Грачевского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муниципального района Ставропольского края».</w:t>
      </w:r>
    </w:p>
    <w:p w:rsidR="00611C75" w:rsidRDefault="00611C75" w:rsidP="00EC4566">
      <w:pPr>
        <w:widowControl w:val="0"/>
        <w:ind w:firstLine="709"/>
        <w:jc w:val="both"/>
        <w:rPr>
          <w:b/>
        </w:rPr>
      </w:pPr>
    </w:p>
    <w:p w:rsidR="00611C75" w:rsidRDefault="00AF44ED" w:rsidP="00EC4566">
      <w:pPr>
        <w:widowControl w:val="0"/>
        <w:ind w:firstLine="709"/>
        <w:jc w:val="both"/>
      </w:pPr>
      <w:r w:rsidRPr="00D947C1">
        <w:rPr>
          <w:b/>
        </w:rPr>
        <w:t>2. </w:t>
      </w:r>
      <w:proofErr w:type="gramStart"/>
      <w:r w:rsidR="006648D0" w:rsidRPr="00D947C1">
        <w:rPr>
          <w:b/>
        </w:rPr>
        <w:t>Предмет контрольного мероприятия:</w:t>
      </w:r>
      <w:r w:rsidR="006648D0" w:rsidRPr="00D947C1">
        <w:t xml:space="preserve"> </w:t>
      </w:r>
      <w:r w:rsidR="00ED30C9" w:rsidRPr="00ED30C9">
        <w:t xml:space="preserve">годовая бюджетная отчетность главного распорядителя средств бюджета </w:t>
      </w:r>
      <w:proofErr w:type="spellStart"/>
      <w:r w:rsidR="00ED30C9" w:rsidRPr="00ED30C9">
        <w:t>Грачевского</w:t>
      </w:r>
      <w:proofErr w:type="spellEnd"/>
      <w:r w:rsidR="00ED30C9" w:rsidRPr="00ED30C9">
        <w:t xml:space="preserve"> муниципального района Ставропольского края – финансового управления администрации </w:t>
      </w:r>
      <w:proofErr w:type="spellStart"/>
      <w:r w:rsidR="00ED30C9" w:rsidRPr="00ED30C9">
        <w:t>Грачевского</w:t>
      </w:r>
      <w:proofErr w:type="spellEnd"/>
      <w:r w:rsidR="00ED30C9" w:rsidRPr="00ED30C9">
        <w:t xml:space="preserve"> муниципального района Ставропольского края по формам, утвержденным Приказом Министерства финансов  Российской Федерации от 28.12.2010 № 191н «Об утверждении Инструкции о  порядке составления и представления годовой, квартальной и месячной  отчетности об исполнении бюджетов бюджетной системы Российской  Федерации» (далее – Инструкция № 191 н).</w:t>
      </w:r>
      <w:proofErr w:type="gramEnd"/>
    </w:p>
    <w:p w:rsidR="00ED30C9" w:rsidRDefault="00ED30C9" w:rsidP="00EC4566">
      <w:pPr>
        <w:widowControl w:val="0"/>
        <w:ind w:firstLine="709"/>
        <w:jc w:val="both"/>
        <w:rPr>
          <w:b/>
        </w:rPr>
      </w:pPr>
    </w:p>
    <w:p w:rsidR="006648D0" w:rsidRPr="00D947C1" w:rsidRDefault="00AF44ED" w:rsidP="00EC4566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>Объект контрольного мероприятия:</w:t>
      </w:r>
      <w:r w:rsidR="006648D0" w:rsidRPr="00D947C1">
        <w:t xml:space="preserve"> </w:t>
      </w:r>
      <w:r w:rsidR="00ED30C9" w:rsidRPr="00ED30C9">
        <w:rPr>
          <w:rFonts w:eastAsia="Calibri"/>
          <w:lang w:eastAsia="en-US"/>
        </w:rPr>
        <w:t xml:space="preserve">финансовое управление администрации </w:t>
      </w:r>
      <w:proofErr w:type="spellStart"/>
      <w:r w:rsidR="00ED30C9" w:rsidRPr="00ED30C9">
        <w:rPr>
          <w:rFonts w:eastAsia="Calibri"/>
          <w:lang w:eastAsia="en-US"/>
        </w:rPr>
        <w:t>Грачевского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муниципального района Ставропольского края, как главный распорядитель средств бюджета </w:t>
      </w:r>
      <w:proofErr w:type="spellStart"/>
      <w:r w:rsidR="00ED30C9" w:rsidRPr="00ED30C9">
        <w:rPr>
          <w:rFonts w:eastAsia="Calibri"/>
          <w:lang w:eastAsia="en-US"/>
        </w:rPr>
        <w:t>Грачевского</w:t>
      </w:r>
      <w:proofErr w:type="spellEnd"/>
      <w:r w:rsidR="00ED30C9" w:rsidRPr="00ED30C9">
        <w:rPr>
          <w:rFonts w:eastAsia="Calibri"/>
          <w:lang w:eastAsia="en-US"/>
        </w:rPr>
        <w:t xml:space="preserve"> муниципального района Ставропольского края (далее – финансовое управление).</w:t>
      </w:r>
    </w:p>
    <w:p w:rsidR="005E0B8B" w:rsidRPr="00D947C1" w:rsidRDefault="005E0B8B" w:rsidP="00EC4566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EC4566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2019 год</w:t>
      </w:r>
      <w:r w:rsidR="006648D0" w:rsidRPr="00D947C1">
        <w:t>.</w:t>
      </w:r>
    </w:p>
    <w:p w:rsidR="00611C75" w:rsidRDefault="00611C75" w:rsidP="00EC4566">
      <w:pPr>
        <w:widowControl w:val="0"/>
        <w:ind w:firstLine="708"/>
        <w:jc w:val="both"/>
        <w:rPr>
          <w:b/>
        </w:rPr>
      </w:pPr>
    </w:p>
    <w:p w:rsidR="006648D0" w:rsidRDefault="00AF44ED" w:rsidP="00EC4566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6C1AFD">
        <w:rPr>
          <w:b/>
        </w:rPr>
        <w:t xml:space="preserve">основного этапа </w:t>
      </w:r>
      <w:r w:rsidR="006648D0" w:rsidRPr="00D947C1">
        <w:rPr>
          <w:b/>
        </w:rPr>
        <w:t>контрольного мероприятия</w:t>
      </w:r>
      <w:r w:rsidR="006648D0" w:rsidRPr="00D947C1">
        <w:t xml:space="preserve"> </w:t>
      </w:r>
      <w:r w:rsidR="00EC1A22" w:rsidRPr="00EC1A22">
        <w:t>с 01 по 30 апреля 2020 года.</w:t>
      </w:r>
    </w:p>
    <w:p w:rsidR="00EC1A22" w:rsidRPr="00D947C1" w:rsidRDefault="00EC1A22" w:rsidP="00EC4566">
      <w:pPr>
        <w:widowControl w:val="0"/>
        <w:ind w:firstLine="709"/>
        <w:jc w:val="both"/>
      </w:pPr>
    </w:p>
    <w:p w:rsidR="00ED30C9" w:rsidRPr="007909F1" w:rsidRDefault="00707D49" w:rsidP="00EC4566">
      <w:pPr>
        <w:pStyle w:val="a9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6. Цель</w:t>
      </w:r>
      <w:r w:rsidR="00AF44ED" w:rsidRPr="00D947C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ED30C9" w:rsidRPr="007909F1">
        <w:t>установление полноты бюджетной</w:t>
      </w:r>
      <w:r w:rsidR="00ED30C9">
        <w:t xml:space="preserve"> </w:t>
      </w:r>
      <w:r w:rsidR="00ED30C9" w:rsidRPr="007909F1">
        <w:t xml:space="preserve">главного распорядителя средств  бюджета </w:t>
      </w:r>
      <w:proofErr w:type="spellStart"/>
      <w:r w:rsidR="00ED30C9" w:rsidRPr="007909F1">
        <w:t>Грачевского</w:t>
      </w:r>
      <w:proofErr w:type="spellEnd"/>
      <w:r w:rsidR="00ED30C9" w:rsidRPr="007909F1">
        <w:t xml:space="preserve"> муниципального района Ставропольского края </w:t>
      </w:r>
      <w:r w:rsidR="00ED30C9">
        <w:t>–</w:t>
      </w:r>
      <w:r w:rsidR="00ED30C9" w:rsidRPr="007909F1">
        <w:t xml:space="preserve"> </w:t>
      </w:r>
      <w:r w:rsidR="00ED30C9">
        <w:t xml:space="preserve">финансового управления администрации </w:t>
      </w:r>
      <w:proofErr w:type="spellStart"/>
      <w:r w:rsidR="00ED30C9" w:rsidRPr="007909F1">
        <w:t>Грачевского</w:t>
      </w:r>
      <w:proofErr w:type="spellEnd"/>
      <w:r w:rsidR="00ED30C9" w:rsidRPr="007909F1">
        <w:t xml:space="preserve"> муниципального района Ставропольского края, ее соответствие требованиям нормативных правовых актов; оценка достоверности по</w:t>
      </w:r>
      <w:r w:rsidR="00ED30C9">
        <w:t>казателей бюджетной отчетности, законности и результативности исполнения утвержденных бюджетных назначений.</w:t>
      </w:r>
    </w:p>
    <w:p w:rsidR="005E0B8B" w:rsidRPr="00D947C1" w:rsidRDefault="005E0B8B" w:rsidP="00EC4566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EC4566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EC4566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ED30C9" w:rsidRPr="0069785E" w:rsidRDefault="00ED30C9" w:rsidP="00EC4566">
      <w:pPr>
        <w:pStyle w:val="a9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iCs/>
          <w:shd w:val="clear" w:color="auto" w:fill="FFFFFF" w:themeFill="background1"/>
        </w:rPr>
      </w:pPr>
      <w:r>
        <w:rPr>
          <w:bCs/>
          <w:iCs/>
          <w:shd w:val="clear" w:color="auto" w:fill="FFFFFF" w:themeFill="background1"/>
        </w:rPr>
        <w:t xml:space="preserve">Финансовое управление создано на основании решения Совета </w:t>
      </w:r>
      <w:proofErr w:type="spellStart"/>
      <w:r>
        <w:rPr>
          <w:bCs/>
          <w:iCs/>
          <w:shd w:val="clear" w:color="auto" w:fill="FFFFFF" w:themeFill="background1"/>
        </w:rPr>
        <w:t>Грачевского</w:t>
      </w:r>
      <w:proofErr w:type="spellEnd"/>
      <w:r>
        <w:rPr>
          <w:bCs/>
          <w:iCs/>
          <w:shd w:val="clear" w:color="auto" w:fill="FFFFFF" w:themeFill="background1"/>
        </w:rPr>
        <w:t xml:space="preserve"> муниципального района от </w:t>
      </w:r>
      <w:r w:rsidRPr="0069785E">
        <w:rPr>
          <w:bCs/>
          <w:iCs/>
          <w:shd w:val="clear" w:color="auto" w:fill="FFFFFF" w:themeFill="background1"/>
        </w:rPr>
        <w:t xml:space="preserve">28.12.2004 </w:t>
      </w:r>
      <w:r>
        <w:rPr>
          <w:bCs/>
          <w:iCs/>
          <w:shd w:val="clear" w:color="auto" w:fill="FFFFFF" w:themeFill="background1"/>
        </w:rPr>
        <w:t>№ 18.</w:t>
      </w:r>
    </w:p>
    <w:p w:rsidR="00EC1A22" w:rsidRDefault="00ED30C9" w:rsidP="00EC4566">
      <w:pPr>
        <w:widowControl w:val="0"/>
        <w:ind w:firstLine="709"/>
        <w:jc w:val="both"/>
        <w:rPr>
          <w:bCs/>
          <w:iCs/>
        </w:rPr>
      </w:pPr>
      <w:proofErr w:type="gramStart"/>
      <w:r w:rsidRPr="00D04108">
        <w:rPr>
          <w:bCs/>
          <w:iCs/>
          <w:shd w:val="clear" w:color="auto" w:fill="FFFFFF" w:themeFill="background1"/>
        </w:rPr>
        <w:t xml:space="preserve">Согласно статье 29 Устава </w:t>
      </w:r>
      <w:proofErr w:type="spellStart"/>
      <w:r w:rsidRPr="00D04108">
        <w:rPr>
          <w:bCs/>
          <w:iCs/>
          <w:shd w:val="clear" w:color="auto" w:fill="FFFFFF" w:themeFill="background1"/>
        </w:rPr>
        <w:t>Грачевского</w:t>
      </w:r>
      <w:proofErr w:type="spellEnd"/>
      <w:r w:rsidRPr="00D04108">
        <w:rPr>
          <w:bCs/>
          <w:iCs/>
          <w:shd w:val="clear" w:color="auto" w:fill="FFFFFF" w:themeFill="background1"/>
        </w:rPr>
        <w:t xml:space="preserve"> муниципального района Ставропольского края, принятого решением Совета </w:t>
      </w:r>
      <w:proofErr w:type="spellStart"/>
      <w:r w:rsidRPr="00D04108">
        <w:rPr>
          <w:bCs/>
          <w:iCs/>
          <w:shd w:val="clear" w:color="auto" w:fill="FFFFFF" w:themeFill="background1"/>
        </w:rPr>
        <w:t>Грачевского</w:t>
      </w:r>
      <w:proofErr w:type="spellEnd"/>
      <w:r w:rsidRPr="00D04108">
        <w:rPr>
          <w:bCs/>
          <w:iCs/>
          <w:shd w:val="clear" w:color="auto" w:fill="FFFFFF" w:themeFill="background1"/>
        </w:rPr>
        <w:t xml:space="preserve"> муниципального района Ставропольского края от 19 декабря 2017 года № 31</w:t>
      </w:r>
      <w:r w:rsidRPr="0023599F">
        <w:rPr>
          <w:bCs/>
          <w:iCs/>
        </w:rPr>
        <w:t>(в редакции от 27.07.2018г.)</w:t>
      </w:r>
      <w:r w:rsidRPr="007909F1">
        <w:rPr>
          <w:bCs/>
          <w:iCs/>
        </w:rPr>
        <w:t xml:space="preserve">, </w:t>
      </w:r>
      <w:r w:rsidRPr="00506EB6">
        <w:rPr>
          <w:bCs/>
          <w:iCs/>
        </w:rPr>
        <w:t>и п. 1</w:t>
      </w:r>
      <w:r w:rsidRPr="00B665D2">
        <w:rPr>
          <w:bCs/>
          <w:iCs/>
        </w:rPr>
        <w:t xml:space="preserve"> решения Совета </w:t>
      </w:r>
      <w:proofErr w:type="spellStart"/>
      <w:r w:rsidRPr="00B665D2">
        <w:rPr>
          <w:bCs/>
          <w:iCs/>
        </w:rPr>
        <w:t>Грачевского</w:t>
      </w:r>
      <w:proofErr w:type="spellEnd"/>
      <w:r w:rsidRPr="00B665D2">
        <w:rPr>
          <w:bCs/>
          <w:iCs/>
        </w:rPr>
        <w:t xml:space="preserve"> муниципального района   Ставропольского края от </w:t>
      </w:r>
      <w:r>
        <w:rPr>
          <w:bCs/>
          <w:iCs/>
        </w:rPr>
        <w:t>15 января 2018</w:t>
      </w:r>
      <w:r w:rsidRPr="00B665D2">
        <w:rPr>
          <w:bCs/>
          <w:iCs/>
        </w:rPr>
        <w:t xml:space="preserve"> № </w:t>
      </w:r>
      <w:r>
        <w:rPr>
          <w:bCs/>
          <w:iCs/>
        </w:rPr>
        <w:t xml:space="preserve">2 </w:t>
      </w:r>
      <w:r w:rsidRPr="00B665D2">
        <w:rPr>
          <w:bCs/>
          <w:iCs/>
        </w:rPr>
        <w:t xml:space="preserve">«Положения </w:t>
      </w:r>
      <w:r>
        <w:rPr>
          <w:bCs/>
          <w:iCs/>
        </w:rPr>
        <w:t>о финансовом управлении администрации</w:t>
      </w:r>
      <w:r w:rsidRPr="00B665D2">
        <w:rPr>
          <w:bCs/>
          <w:iCs/>
        </w:rPr>
        <w:t xml:space="preserve"> </w:t>
      </w:r>
      <w:proofErr w:type="spellStart"/>
      <w:r w:rsidRPr="00B665D2">
        <w:rPr>
          <w:bCs/>
          <w:iCs/>
        </w:rPr>
        <w:t>Грачевского</w:t>
      </w:r>
      <w:proofErr w:type="spellEnd"/>
      <w:r w:rsidRPr="00B665D2">
        <w:rPr>
          <w:bCs/>
          <w:iCs/>
        </w:rPr>
        <w:t xml:space="preserve"> муниципального района </w:t>
      </w:r>
      <w:r w:rsidRPr="00B665D2">
        <w:rPr>
          <w:bCs/>
          <w:iCs/>
        </w:rPr>
        <w:lastRenderedPageBreak/>
        <w:t>Ставропольского края»</w:t>
      </w:r>
      <w:r>
        <w:rPr>
          <w:bCs/>
          <w:iCs/>
        </w:rPr>
        <w:t xml:space="preserve"> - </w:t>
      </w:r>
      <w:r w:rsidRPr="007909F1">
        <w:rPr>
          <w:bCs/>
          <w:iCs/>
        </w:rPr>
        <w:t xml:space="preserve"> </w:t>
      </w:r>
      <w:r>
        <w:rPr>
          <w:bCs/>
          <w:iCs/>
        </w:rPr>
        <w:t xml:space="preserve">финансовое управление </w:t>
      </w:r>
      <w:r w:rsidRPr="007909F1">
        <w:rPr>
          <w:bCs/>
          <w:iCs/>
        </w:rPr>
        <w:t xml:space="preserve"> является </w:t>
      </w:r>
      <w:r>
        <w:rPr>
          <w:bCs/>
          <w:iCs/>
        </w:rPr>
        <w:t>структурным органом</w:t>
      </w:r>
      <w:r w:rsidRPr="007909F1">
        <w:rPr>
          <w:bCs/>
          <w:iCs/>
        </w:rPr>
        <w:t xml:space="preserve"> </w:t>
      </w:r>
      <w:r>
        <w:rPr>
          <w:bCs/>
          <w:iCs/>
        </w:rPr>
        <w:t>администрации</w:t>
      </w:r>
      <w:r w:rsidRPr="007909F1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proofErr w:type="gramEnd"/>
      <w:r w:rsidRPr="007909F1">
        <w:rPr>
          <w:bCs/>
          <w:iCs/>
        </w:rPr>
        <w:t xml:space="preserve"> муниципального района Ставропольского края.   </w:t>
      </w:r>
    </w:p>
    <w:p w:rsidR="00ED30C9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>
        <w:t>Финансовое управление</w:t>
      </w:r>
      <w:r w:rsidRPr="007909F1">
        <w:rPr>
          <w:bCs/>
          <w:iCs/>
        </w:rPr>
        <w:t xml:space="preserve"> </w:t>
      </w:r>
      <w:r>
        <w:rPr>
          <w:bCs/>
          <w:iCs/>
        </w:rPr>
        <w:t>имеет</w:t>
      </w:r>
      <w:r w:rsidRPr="007909F1">
        <w:rPr>
          <w:bCs/>
          <w:iCs/>
        </w:rPr>
        <w:t xml:space="preserve"> </w:t>
      </w:r>
      <w:r>
        <w:rPr>
          <w:bCs/>
          <w:iCs/>
        </w:rPr>
        <w:t>1</w:t>
      </w:r>
      <w:r w:rsidRPr="007909F1">
        <w:rPr>
          <w:bCs/>
          <w:iCs/>
        </w:rPr>
        <w:t xml:space="preserve"> подведомственн</w:t>
      </w:r>
      <w:r>
        <w:rPr>
          <w:bCs/>
          <w:iCs/>
        </w:rPr>
        <w:t>ое</w:t>
      </w:r>
      <w:r w:rsidRPr="007909F1">
        <w:rPr>
          <w:bCs/>
          <w:iCs/>
        </w:rPr>
        <w:t xml:space="preserve"> учреждени</w:t>
      </w:r>
      <w:r>
        <w:rPr>
          <w:bCs/>
          <w:iCs/>
        </w:rPr>
        <w:t>е</w:t>
      </w:r>
      <w:r w:rsidRPr="007909F1">
        <w:rPr>
          <w:bCs/>
          <w:iCs/>
        </w:rPr>
        <w:t xml:space="preserve"> - муниципальн</w:t>
      </w:r>
      <w:r>
        <w:rPr>
          <w:bCs/>
          <w:iCs/>
        </w:rPr>
        <w:t xml:space="preserve">ое </w:t>
      </w:r>
      <w:r w:rsidRPr="007909F1">
        <w:rPr>
          <w:bCs/>
          <w:iCs/>
        </w:rPr>
        <w:t>казенн</w:t>
      </w:r>
      <w:r>
        <w:rPr>
          <w:bCs/>
          <w:iCs/>
        </w:rPr>
        <w:t>ое</w:t>
      </w:r>
      <w:r w:rsidRPr="007909F1">
        <w:rPr>
          <w:bCs/>
          <w:iCs/>
        </w:rPr>
        <w:t xml:space="preserve"> учреждени</w:t>
      </w:r>
      <w:r>
        <w:rPr>
          <w:bCs/>
          <w:iCs/>
        </w:rPr>
        <w:t>е «</w:t>
      </w:r>
      <w:r w:rsidRPr="00B04A1A">
        <w:rPr>
          <w:bCs/>
          <w:iCs/>
        </w:rPr>
        <w:t xml:space="preserve">Межведомственная централизованная бухгалтерия» </w:t>
      </w:r>
      <w:proofErr w:type="spellStart"/>
      <w:r w:rsidRPr="00B04A1A">
        <w:rPr>
          <w:bCs/>
          <w:iCs/>
        </w:rPr>
        <w:t>Грачевского</w:t>
      </w:r>
      <w:proofErr w:type="spellEnd"/>
      <w:r w:rsidRPr="00B04A1A">
        <w:rPr>
          <w:bCs/>
          <w:iCs/>
        </w:rPr>
        <w:t xml:space="preserve"> муниципального района Ставропольского края</w:t>
      </w:r>
      <w:r>
        <w:rPr>
          <w:bCs/>
          <w:iCs/>
        </w:rPr>
        <w:t xml:space="preserve">. </w:t>
      </w:r>
      <w:r>
        <w:t xml:space="preserve">Учреждение находится в ведомственном подчинении финансового управления, осуществляющего отдельные функции и полномочия учредителя в соответствии с муниципальным правовым актом администрации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края,</w:t>
      </w:r>
      <w:r w:rsidRPr="00A85419">
        <w:t xml:space="preserve"> </w:t>
      </w:r>
      <w:r w:rsidRPr="00A85419">
        <w:rPr>
          <w:bCs/>
          <w:iCs/>
        </w:rPr>
        <w:t xml:space="preserve">что </w:t>
      </w:r>
      <w:r>
        <w:rPr>
          <w:bCs/>
          <w:iCs/>
        </w:rPr>
        <w:t>подтверждается</w:t>
      </w:r>
      <w:r w:rsidRPr="00A85419">
        <w:rPr>
          <w:bCs/>
          <w:iCs/>
        </w:rPr>
        <w:t xml:space="preserve"> форм</w:t>
      </w:r>
      <w:r>
        <w:rPr>
          <w:bCs/>
          <w:iCs/>
        </w:rPr>
        <w:t>ой</w:t>
      </w:r>
      <w:r w:rsidRPr="00A85419">
        <w:rPr>
          <w:bCs/>
          <w:iCs/>
        </w:rPr>
        <w:t xml:space="preserve"> 0503161.</w:t>
      </w:r>
    </w:p>
    <w:p w:rsidR="00ED30C9" w:rsidRPr="007909F1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B731CF">
        <w:rPr>
          <w:bCs/>
          <w:iCs/>
        </w:rPr>
        <w:t>Ведение бюджетного</w:t>
      </w:r>
      <w:r>
        <w:rPr>
          <w:bCs/>
          <w:iCs/>
        </w:rPr>
        <w:t xml:space="preserve"> (бухгалтерского)</w:t>
      </w:r>
      <w:r w:rsidRPr="00B731CF">
        <w:rPr>
          <w:bCs/>
          <w:iCs/>
        </w:rPr>
        <w:t xml:space="preserve"> учета и составление отчетности осуществляет МКУ «Межведомственная централизованная бухгалтерия» </w:t>
      </w:r>
      <w:proofErr w:type="spellStart"/>
      <w:r w:rsidRPr="00B731CF">
        <w:rPr>
          <w:bCs/>
          <w:iCs/>
        </w:rPr>
        <w:t>Грачевского</w:t>
      </w:r>
      <w:proofErr w:type="spellEnd"/>
      <w:r w:rsidRPr="00B731CF">
        <w:rPr>
          <w:bCs/>
          <w:iCs/>
        </w:rPr>
        <w:t xml:space="preserve"> муниципального района</w:t>
      </w:r>
      <w:r>
        <w:rPr>
          <w:bCs/>
          <w:iCs/>
        </w:rPr>
        <w:t xml:space="preserve"> Ставропольского края, в соответствии с заключенным договором от 01.09.2016г.</w:t>
      </w:r>
    </w:p>
    <w:p w:rsidR="00ED30C9" w:rsidRDefault="00ED30C9" w:rsidP="00EC4566">
      <w:pPr>
        <w:widowControl w:val="0"/>
        <w:ind w:firstLine="709"/>
        <w:jc w:val="both"/>
      </w:pPr>
    </w:p>
    <w:p w:rsidR="00AF44ED" w:rsidRDefault="00AF44ED" w:rsidP="00EC4566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ED30C9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909F1">
        <w:rPr>
          <w:bCs/>
          <w:iCs/>
        </w:rPr>
        <w:t>Консолидированная (сводная) бюджетная отчетность за 201</w:t>
      </w:r>
      <w:r>
        <w:rPr>
          <w:bCs/>
          <w:iCs/>
        </w:rPr>
        <w:t>9</w:t>
      </w:r>
      <w:r w:rsidRPr="007909F1">
        <w:rPr>
          <w:bCs/>
          <w:iCs/>
        </w:rPr>
        <w:t xml:space="preserve"> год составлена </w:t>
      </w:r>
      <w:r>
        <w:t>ф</w:t>
      </w:r>
      <w:r w:rsidRPr="00B04A1A">
        <w:t>инансовым управлением</w:t>
      </w:r>
      <w:r w:rsidRPr="007909F1">
        <w:rPr>
          <w:bCs/>
          <w:iCs/>
        </w:rPr>
        <w:t>, как главным распорядителем средств бюджета</w:t>
      </w:r>
      <w:r w:rsidRPr="007909F1"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района, на основании показателей форм бюджетной отчетности, представленных получателями средств бюджета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района, в которую включены обобщенные показатели отчетов </w:t>
      </w:r>
      <w:r>
        <w:t>ф</w:t>
      </w:r>
      <w:r w:rsidRPr="00B04A1A">
        <w:t>инансов</w:t>
      </w:r>
      <w:r>
        <w:t>ого</w:t>
      </w:r>
      <w:r w:rsidRPr="00B04A1A">
        <w:t xml:space="preserve"> управлени</w:t>
      </w:r>
      <w:r>
        <w:t>я</w:t>
      </w:r>
      <w:r w:rsidRPr="00B04A1A">
        <w:t xml:space="preserve"> </w:t>
      </w:r>
      <w:r w:rsidRPr="007909F1">
        <w:rPr>
          <w:bCs/>
          <w:iCs/>
        </w:rPr>
        <w:t xml:space="preserve">и </w:t>
      </w:r>
      <w:r>
        <w:rPr>
          <w:bCs/>
          <w:iCs/>
        </w:rPr>
        <w:t>1 </w:t>
      </w:r>
      <w:r w:rsidRPr="007909F1">
        <w:rPr>
          <w:bCs/>
          <w:iCs/>
        </w:rPr>
        <w:t>подведомственн</w:t>
      </w:r>
      <w:r>
        <w:rPr>
          <w:bCs/>
          <w:iCs/>
        </w:rPr>
        <w:t>ого</w:t>
      </w:r>
      <w:r w:rsidRPr="007909F1">
        <w:rPr>
          <w:bCs/>
          <w:iCs/>
        </w:rPr>
        <w:t xml:space="preserve"> </w:t>
      </w:r>
      <w:r>
        <w:t>ф</w:t>
      </w:r>
      <w:r w:rsidRPr="00B04A1A">
        <w:t>инансово</w:t>
      </w:r>
      <w:r>
        <w:t>му</w:t>
      </w:r>
      <w:r w:rsidRPr="00B04A1A">
        <w:t xml:space="preserve"> управлени</w:t>
      </w:r>
      <w:r>
        <w:t>ю</w:t>
      </w:r>
      <w:r w:rsidRPr="00B04A1A">
        <w:t xml:space="preserve"> </w:t>
      </w:r>
      <w:r w:rsidRPr="007909F1">
        <w:rPr>
          <w:bCs/>
          <w:iCs/>
        </w:rPr>
        <w:t>учреждени</w:t>
      </w:r>
      <w:r>
        <w:rPr>
          <w:bCs/>
          <w:iCs/>
        </w:rPr>
        <w:t>я</w:t>
      </w:r>
      <w:r w:rsidRPr="007909F1">
        <w:rPr>
          <w:bCs/>
          <w:iCs/>
        </w:rPr>
        <w:t xml:space="preserve">, как получателей средств бюджета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</w:t>
      </w:r>
      <w:r>
        <w:rPr>
          <w:bCs/>
          <w:iCs/>
        </w:rPr>
        <w:t>.</w:t>
      </w:r>
      <w:proofErr w:type="gramEnd"/>
    </w:p>
    <w:p w:rsidR="00ED30C9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909F1">
        <w:rPr>
          <w:bCs/>
          <w:iCs/>
        </w:rPr>
        <w:t xml:space="preserve">В соответствии с пунктом 58.3 решения Совета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от 03.10.2017 № 289-III  «Положения о бюджетном процессе в </w:t>
      </w:r>
      <w:proofErr w:type="spellStart"/>
      <w:r w:rsidRPr="007909F1">
        <w:rPr>
          <w:bCs/>
          <w:iCs/>
        </w:rPr>
        <w:t>Грачевском</w:t>
      </w:r>
      <w:proofErr w:type="spellEnd"/>
      <w:r w:rsidRPr="007909F1">
        <w:rPr>
          <w:bCs/>
          <w:iCs/>
        </w:rPr>
        <w:t xml:space="preserve"> муниципальном районе Ставропольского края» </w:t>
      </w:r>
      <w:r w:rsidRPr="00F90D0D">
        <w:rPr>
          <w:bCs/>
          <w:iCs/>
        </w:rPr>
        <w:t>финансов</w:t>
      </w:r>
      <w:r>
        <w:rPr>
          <w:bCs/>
          <w:iCs/>
        </w:rPr>
        <w:t>ое</w:t>
      </w:r>
      <w:r w:rsidRPr="00F90D0D">
        <w:rPr>
          <w:bCs/>
          <w:iCs/>
        </w:rPr>
        <w:t xml:space="preserve"> управлени</w:t>
      </w:r>
      <w:r>
        <w:rPr>
          <w:bCs/>
          <w:iCs/>
        </w:rPr>
        <w:t>е</w:t>
      </w:r>
      <w:r w:rsidRPr="00F90D0D">
        <w:rPr>
          <w:bCs/>
          <w:iCs/>
        </w:rPr>
        <w:t xml:space="preserve"> </w:t>
      </w:r>
      <w:r w:rsidRPr="007909F1">
        <w:rPr>
          <w:bCs/>
          <w:iCs/>
        </w:rPr>
        <w:t>представил</w:t>
      </w:r>
      <w:r>
        <w:rPr>
          <w:bCs/>
          <w:iCs/>
        </w:rPr>
        <w:t>о</w:t>
      </w:r>
      <w:r w:rsidRPr="007909F1">
        <w:rPr>
          <w:bCs/>
          <w:iCs/>
        </w:rPr>
        <w:t xml:space="preserve"> годовую бюджетную отчетность (письмо от </w:t>
      </w:r>
      <w:r>
        <w:rPr>
          <w:bCs/>
          <w:iCs/>
          <w:shd w:val="clear" w:color="auto" w:fill="FFFFFF" w:themeFill="background1"/>
        </w:rPr>
        <w:t>27.</w:t>
      </w:r>
      <w:r w:rsidRPr="00AB2C12">
        <w:rPr>
          <w:bCs/>
          <w:iCs/>
          <w:shd w:val="clear" w:color="auto" w:fill="FFFFFF" w:themeFill="background1"/>
        </w:rPr>
        <w:t>0</w:t>
      </w:r>
      <w:r>
        <w:rPr>
          <w:bCs/>
          <w:iCs/>
          <w:shd w:val="clear" w:color="auto" w:fill="FFFFFF" w:themeFill="background1"/>
        </w:rPr>
        <w:t>3</w:t>
      </w:r>
      <w:r w:rsidRPr="00AB2C12">
        <w:rPr>
          <w:bCs/>
          <w:iCs/>
          <w:shd w:val="clear" w:color="auto" w:fill="FFFFFF" w:themeFill="background1"/>
        </w:rPr>
        <w:t>.20</w:t>
      </w:r>
      <w:r>
        <w:rPr>
          <w:bCs/>
          <w:iCs/>
          <w:shd w:val="clear" w:color="auto" w:fill="FFFFFF" w:themeFill="background1"/>
        </w:rPr>
        <w:t>20</w:t>
      </w:r>
      <w:r w:rsidRPr="00AB2C12">
        <w:rPr>
          <w:bCs/>
          <w:iCs/>
          <w:shd w:val="clear" w:color="auto" w:fill="FFFFFF" w:themeFill="background1"/>
        </w:rPr>
        <w:t xml:space="preserve"> исх</w:t>
      </w:r>
      <w:r w:rsidRPr="00AC6DC7">
        <w:rPr>
          <w:bCs/>
          <w:iCs/>
        </w:rPr>
        <w:t xml:space="preserve">.№ </w:t>
      </w:r>
      <w:r>
        <w:rPr>
          <w:bCs/>
          <w:iCs/>
        </w:rPr>
        <w:t>02</w:t>
      </w:r>
      <w:r w:rsidRPr="00AC6DC7">
        <w:rPr>
          <w:bCs/>
          <w:iCs/>
        </w:rPr>
        <w:t>-0</w:t>
      </w:r>
      <w:r>
        <w:rPr>
          <w:bCs/>
          <w:iCs/>
        </w:rPr>
        <w:t>5</w:t>
      </w:r>
      <w:r w:rsidRPr="00AC6DC7">
        <w:rPr>
          <w:bCs/>
          <w:iCs/>
        </w:rPr>
        <w:t>/</w:t>
      </w:r>
      <w:r>
        <w:rPr>
          <w:bCs/>
          <w:iCs/>
        </w:rPr>
        <w:t>0327</w:t>
      </w:r>
      <w:r w:rsidRPr="007909F1">
        <w:rPr>
          <w:bCs/>
          <w:iCs/>
        </w:rPr>
        <w:t xml:space="preserve">) в Контрольно-счетную комиссию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для внешней проверки в установленные сроки.</w:t>
      </w:r>
      <w:proofErr w:type="gramEnd"/>
    </w:p>
    <w:p w:rsidR="00ED30C9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1E1200">
        <w:rPr>
          <w:bCs/>
          <w:iCs/>
        </w:rPr>
        <w:t xml:space="preserve">В соответствии с решением Совета </w:t>
      </w:r>
      <w:proofErr w:type="spellStart"/>
      <w:r w:rsidRPr="001E1200">
        <w:rPr>
          <w:bCs/>
          <w:iCs/>
        </w:rPr>
        <w:t>Грачевского</w:t>
      </w:r>
      <w:proofErr w:type="spellEnd"/>
      <w:r w:rsidRPr="001E1200">
        <w:rPr>
          <w:bCs/>
          <w:iCs/>
        </w:rPr>
        <w:t xml:space="preserve"> муниципального района Ставропольского края от 18 декабря 2018 года № 88 «О бюджете </w:t>
      </w:r>
      <w:proofErr w:type="spellStart"/>
      <w:r w:rsidRPr="001E1200">
        <w:rPr>
          <w:bCs/>
          <w:iCs/>
        </w:rPr>
        <w:t>Грачевского</w:t>
      </w:r>
      <w:proofErr w:type="spellEnd"/>
      <w:r w:rsidRPr="001E1200">
        <w:rPr>
          <w:bCs/>
          <w:iCs/>
        </w:rPr>
        <w:t xml:space="preserve"> муниципального района Ставропольского края на 2019 го</w:t>
      </w:r>
      <w:r>
        <w:rPr>
          <w:bCs/>
          <w:iCs/>
        </w:rPr>
        <w:t>д и плановый период 2020 и 2021 </w:t>
      </w:r>
      <w:r w:rsidRPr="001E1200">
        <w:rPr>
          <w:bCs/>
          <w:iCs/>
        </w:rPr>
        <w:t>годов» (в редакции от 14.01.2020 г.№ 1) (далее по тексту – Решение о местном бюджете на 2019 год)</w:t>
      </w:r>
      <w:r>
        <w:rPr>
          <w:bCs/>
          <w:iCs/>
        </w:rPr>
        <w:t xml:space="preserve"> </w:t>
      </w:r>
      <w:r>
        <w:t>финансовое управление</w:t>
      </w:r>
      <w:r w:rsidRPr="007909F1">
        <w:rPr>
          <w:bCs/>
          <w:iCs/>
        </w:rPr>
        <w:t xml:space="preserve">  в 201</w:t>
      </w:r>
      <w:r>
        <w:rPr>
          <w:bCs/>
          <w:iCs/>
        </w:rPr>
        <w:t>9</w:t>
      </w:r>
      <w:r w:rsidRPr="007909F1">
        <w:rPr>
          <w:bCs/>
          <w:iCs/>
        </w:rPr>
        <w:t xml:space="preserve"> году был</w:t>
      </w:r>
      <w:r>
        <w:rPr>
          <w:bCs/>
          <w:iCs/>
        </w:rPr>
        <w:t>о</w:t>
      </w:r>
      <w:r w:rsidRPr="007909F1">
        <w:rPr>
          <w:bCs/>
          <w:iCs/>
        </w:rPr>
        <w:t xml:space="preserve"> определен</w:t>
      </w:r>
      <w:r>
        <w:rPr>
          <w:bCs/>
          <w:iCs/>
        </w:rPr>
        <w:t>о</w:t>
      </w:r>
      <w:r w:rsidRPr="007909F1">
        <w:rPr>
          <w:bCs/>
          <w:iCs/>
        </w:rPr>
        <w:t xml:space="preserve"> главны</w:t>
      </w:r>
      <w:r>
        <w:rPr>
          <w:bCs/>
          <w:iCs/>
        </w:rPr>
        <w:t>м</w:t>
      </w:r>
      <w:r w:rsidRPr="007909F1">
        <w:rPr>
          <w:bCs/>
          <w:iCs/>
        </w:rPr>
        <w:t xml:space="preserve"> администраторо</w:t>
      </w:r>
      <w:r>
        <w:rPr>
          <w:bCs/>
          <w:iCs/>
        </w:rPr>
        <w:t>м</w:t>
      </w:r>
      <w:r w:rsidRPr="007909F1">
        <w:rPr>
          <w:bCs/>
          <w:iCs/>
        </w:rPr>
        <w:t xml:space="preserve"> (администратор) доходов</w:t>
      </w:r>
      <w:proofErr w:type="gramEnd"/>
      <w:r w:rsidRPr="007909F1">
        <w:rPr>
          <w:bCs/>
          <w:iCs/>
        </w:rPr>
        <w:t xml:space="preserve"> местного бюджета по </w:t>
      </w:r>
      <w:r w:rsidRPr="00BB72ED">
        <w:rPr>
          <w:bCs/>
          <w:iCs/>
          <w:shd w:val="clear" w:color="auto" w:fill="FFFFFF" w:themeFill="background1"/>
        </w:rPr>
        <w:t xml:space="preserve">21 </w:t>
      </w:r>
      <w:r w:rsidRPr="00BB72ED">
        <w:rPr>
          <w:bCs/>
          <w:iCs/>
        </w:rPr>
        <w:t>к</w:t>
      </w:r>
      <w:r>
        <w:rPr>
          <w:bCs/>
          <w:iCs/>
        </w:rPr>
        <w:t>оду</w:t>
      </w:r>
      <w:r w:rsidRPr="007909F1">
        <w:rPr>
          <w:bCs/>
          <w:iCs/>
        </w:rPr>
        <w:t xml:space="preserve"> доходов местного бюджета (код главного администратора доходов - 50</w:t>
      </w:r>
      <w:r>
        <w:rPr>
          <w:bCs/>
          <w:iCs/>
        </w:rPr>
        <w:t>4</w:t>
      </w:r>
      <w:r w:rsidRPr="007909F1">
        <w:rPr>
          <w:bCs/>
          <w:iCs/>
        </w:rPr>
        <w:t>).</w:t>
      </w:r>
    </w:p>
    <w:p w:rsidR="00ED30C9" w:rsidRPr="00BC3BE7" w:rsidRDefault="00ED30C9" w:rsidP="00EC4566">
      <w:pPr>
        <w:widowControl w:val="0"/>
        <w:ind w:firstLine="709"/>
        <w:jc w:val="both"/>
        <w:rPr>
          <w:bCs/>
          <w:iCs/>
        </w:rPr>
      </w:pPr>
      <w:proofErr w:type="gramStart"/>
      <w:r w:rsidRPr="002E3E61">
        <w:rPr>
          <w:bCs/>
          <w:iCs/>
        </w:rPr>
        <w:t xml:space="preserve">Согласно отчету «Об исполнении бюджета главного распорядителя, получателя бюджетных средств,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BC3BE7">
        <w:rPr>
          <w:bCs/>
          <w:iCs/>
        </w:rPr>
        <w:t xml:space="preserve">(ф.0503127) </w:t>
      </w:r>
      <w:r>
        <w:rPr>
          <w:bCs/>
          <w:iCs/>
        </w:rPr>
        <w:t>на 01 </w:t>
      </w:r>
      <w:r w:rsidRPr="002E3E61">
        <w:rPr>
          <w:bCs/>
          <w:iCs/>
        </w:rPr>
        <w:t>января 20</w:t>
      </w:r>
      <w:r>
        <w:rPr>
          <w:bCs/>
          <w:iCs/>
        </w:rPr>
        <w:t>20</w:t>
      </w:r>
      <w:r w:rsidRPr="002E3E61">
        <w:rPr>
          <w:bCs/>
          <w:iCs/>
        </w:rPr>
        <w:t xml:space="preserve"> года </w:t>
      </w:r>
      <w:r w:rsidRPr="00BC3BE7">
        <w:rPr>
          <w:bCs/>
          <w:iCs/>
        </w:rPr>
        <w:t xml:space="preserve">по </w:t>
      </w:r>
      <w:r>
        <w:rPr>
          <w:bCs/>
          <w:iCs/>
        </w:rPr>
        <w:t>7</w:t>
      </w:r>
      <w:r w:rsidRPr="00BC3BE7">
        <w:rPr>
          <w:bCs/>
          <w:iCs/>
        </w:rPr>
        <w:t>-</w:t>
      </w:r>
      <w:r>
        <w:rPr>
          <w:bCs/>
          <w:iCs/>
        </w:rPr>
        <w:t>м</w:t>
      </w:r>
      <w:r w:rsidRPr="00BC3BE7">
        <w:rPr>
          <w:bCs/>
          <w:iCs/>
        </w:rPr>
        <w:t>и видам доходов, администрируемых финансов</w:t>
      </w:r>
      <w:r>
        <w:rPr>
          <w:bCs/>
          <w:iCs/>
        </w:rPr>
        <w:t>ым</w:t>
      </w:r>
      <w:r w:rsidRPr="00BC3BE7">
        <w:rPr>
          <w:bCs/>
          <w:iCs/>
        </w:rPr>
        <w:t xml:space="preserve"> управление</w:t>
      </w:r>
      <w:r>
        <w:rPr>
          <w:bCs/>
          <w:iCs/>
        </w:rPr>
        <w:t>м</w:t>
      </w:r>
      <w:r w:rsidRPr="00BC3BE7">
        <w:rPr>
          <w:bCs/>
          <w:iCs/>
        </w:rPr>
        <w:t xml:space="preserve">, поступления составили </w:t>
      </w:r>
      <w:r w:rsidRPr="008E254D">
        <w:rPr>
          <w:bCs/>
          <w:iCs/>
        </w:rPr>
        <w:t>218 981,70</w:t>
      </w:r>
      <w:r w:rsidRPr="00BC3BE7">
        <w:rPr>
          <w:bCs/>
          <w:iCs/>
        </w:rPr>
        <w:t xml:space="preserve"> тыс. рублей при расчетных прогнозных назначениях </w:t>
      </w:r>
      <w:r>
        <w:rPr>
          <w:bCs/>
          <w:iCs/>
        </w:rPr>
        <w:t>–</w:t>
      </w:r>
      <w:r w:rsidRPr="00BC3BE7">
        <w:rPr>
          <w:bCs/>
          <w:iCs/>
        </w:rPr>
        <w:t xml:space="preserve"> </w:t>
      </w:r>
      <w:r>
        <w:rPr>
          <w:bCs/>
          <w:iCs/>
        </w:rPr>
        <w:t>218 </w:t>
      </w:r>
      <w:r w:rsidRPr="008E254D">
        <w:rPr>
          <w:bCs/>
          <w:iCs/>
        </w:rPr>
        <w:t>937,57</w:t>
      </w:r>
      <w:r w:rsidRPr="00BC3BE7">
        <w:rPr>
          <w:bCs/>
          <w:iCs/>
        </w:rPr>
        <w:t xml:space="preserve"> тыс. рублей.</w:t>
      </w:r>
      <w:proofErr w:type="gramEnd"/>
    </w:p>
    <w:p w:rsidR="00ED30C9" w:rsidRDefault="00ED30C9" w:rsidP="00EC4566">
      <w:pPr>
        <w:widowControl w:val="0"/>
        <w:ind w:firstLine="708"/>
        <w:jc w:val="both"/>
      </w:pPr>
      <w:r>
        <w:t>В соответствии с Решение о местном бюджете на 2019 бюджетные ассигнования (по расходам) по главному распорядителю средств местного бюджета финансовому управлению  утверждены в сумме 91 719,04 тыс. рублей.</w:t>
      </w:r>
    </w:p>
    <w:p w:rsidR="00ED30C9" w:rsidRDefault="00ED30C9" w:rsidP="00EC4566">
      <w:pPr>
        <w:widowControl w:val="0"/>
        <w:ind w:firstLine="708"/>
        <w:jc w:val="both"/>
      </w:pPr>
      <w:r>
        <w:t>Утвержденные бюджетные назначения (</w:t>
      </w:r>
      <w:proofErr w:type="gramStart"/>
      <w:r>
        <w:t>и(</w:t>
      </w:r>
      <w:proofErr w:type="gramEnd"/>
      <w:r>
        <w:t xml:space="preserve">или) ЛБО) по расходам на 2019 год финансового управления согласно бюджетной росписи ГРБС на 31.12.2019г., Отчета ф.0503127 и в форме 0503164 «Сведения об исполнении бюджета» к Пояснительной записке (ф. 0503160) отражены в сумме 91 719,04 тыс. рублей, что соответствует объему средств, утвержденному Решением о местном бюджете на 2019 год. </w:t>
      </w:r>
    </w:p>
    <w:p w:rsidR="00ED30C9" w:rsidRDefault="00ED30C9" w:rsidP="00EC4566">
      <w:pPr>
        <w:widowControl w:val="0"/>
        <w:ind w:firstLine="708"/>
        <w:jc w:val="both"/>
      </w:pPr>
      <w:r w:rsidRPr="007909F1">
        <w:rPr>
          <w:bCs/>
          <w:iCs/>
        </w:rPr>
        <w:t>Исполнение бюджета главного распорядителя в целом по расходам в 201</w:t>
      </w:r>
      <w:r>
        <w:rPr>
          <w:bCs/>
          <w:iCs/>
        </w:rPr>
        <w:t>9</w:t>
      </w:r>
      <w:r w:rsidRPr="007909F1">
        <w:rPr>
          <w:bCs/>
          <w:iCs/>
        </w:rPr>
        <w:t xml:space="preserve"> году составило </w:t>
      </w:r>
      <w:r w:rsidRPr="0071233E">
        <w:rPr>
          <w:bCs/>
          <w:iCs/>
        </w:rPr>
        <w:t>90 313,25</w:t>
      </w:r>
      <w:r>
        <w:rPr>
          <w:bCs/>
          <w:iCs/>
        </w:rPr>
        <w:t xml:space="preserve"> </w:t>
      </w:r>
      <w:r w:rsidRPr="007909F1">
        <w:rPr>
          <w:bCs/>
          <w:iCs/>
        </w:rPr>
        <w:t xml:space="preserve">тыс. рублей, или </w:t>
      </w:r>
      <w:r>
        <w:rPr>
          <w:bCs/>
          <w:iCs/>
        </w:rPr>
        <w:t>98,47</w:t>
      </w:r>
      <w:r w:rsidRPr="007909F1">
        <w:rPr>
          <w:bCs/>
          <w:iCs/>
        </w:rPr>
        <w:t>% утвержденных бюджетных назначений</w:t>
      </w:r>
      <w:r>
        <w:rPr>
          <w:bCs/>
          <w:iCs/>
        </w:rPr>
        <w:t>.</w:t>
      </w:r>
    </w:p>
    <w:p w:rsidR="00ED30C9" w:rsidRPr="007909F1" w:rsidRDefault="00ED30C9" w:rsidP="00EC4566">
      <w:pPr>
        <w:widowControl w:val="0"/>
        <w:shd w:val="clear" w:color="auto" w:fill="FFFFFF" w:themeFill="background1"/>
        <w:suppressAutoHyphens/>
        <w:ind w:firstLine="709"/>
        <w:jc w:val="both"/>
      </w:pPr>
      <w:r w:rsidRPr="007909F1">
        <w:t xml:space="preserve">Плановый объем бюджетных ассигнований местного бюджета, администратором </w:t>
      </w:r>
      <w:r w:rsidRPr="007909F1">
        <w:lastRenderedPageBreak/>
        <w:t xml:space="preserve">которых является </w:t>
      </w:r>
      <w:r>
        <w:t>финансовое управление</w:t>
      </w:r>
      <w:r w:rsidRPr="007909F1">
        <w:t xml:space="preserve">, направленных на реализацию муниципальных  программ, составил </w:t>
      </w:r>
      <w:r w:rsidRPr="00D22BA5">
        <w:t>64 267,65</w:t>
      </w:r>
      <w:r>
        <w:t xml:space="preserve"> </w:t>
      </w:r>
      <w:r w:rsidRPr="007909F1">
        <w:t xml:space="preserve">тыс. рублей, исполнение сложилось  в сумме </w:t>
      </w:r>
      <w:r w:rsidRPr="00D22BA5">
        <w:t>64 266,60</w:t>
      </w:r>
      <w:r>
        <w:t xml:space="preserve"> </w:t>
      </w:r>
      <w:r w:rsidRPr="007909F1">
        <w:t xml:space="preserve">тыс. рублей, или </w:t>
      </w:r>
      <w:r>
        <w:t>100</w:t>
      </w:r>
      <w:r w:rsidRPr="007909F1">
        <w:t xml:space="preserve">% к объему выделенных средств. </w:t>
      </w:r>
    </w:p>
    <w:p w:rsidR="00ED30C9" w:rsidRDefault="00ED30C9" w:rsidP="00EC4566">
      <w:pPr>
        <w:widowControl w:val="0"/>
        <w:shd w:val="clear" w:color="auto" w:fill="FFFFFF" w:themeFill="background1"/>
        <w:suppressAutoHyphens/>
        <w:ind w:firstLine="851"/>
        <w:jc w:val="both"/>
      </w:pPr>
      <w:r>
        <w:t xml:space="preserve">Муниципальная программа </w:t>
      </w:r>
      <w:r w:rsidRPr="00D22BA5">
        <w:t xml:space="preserve">Управление финансами </w:t>
      </w:r>
      <w:proofErr w:type="spellStart"/>
      <w:r w:rsidRPr="00D22BA5">
        <w:t>Грачевского</w:t>
      </w:r>
      <w:proofErr w:type="spellEnd"/>
      <w:r w:rsidRPr="00D22BA5">
        <w:t xml:space="preserve"> муниципального района Ставропольского края"</w:t>
      </w:r>
      <w:r>
        <w:t xml:space="preserve"> исполнена финансовым управлением в полном объеме.</w:t>
      </w:r>
    </w:p>
    <w:p w:rsidR="00ED30C9" w:rsidRDefault="00ED30C9" w:rsidP="00EC4566">
      <w:pPr>
        <w:widowControl w:val="0"/>
        <w:ind w:firstLine="709"/>
        <w:jc w:val="both"/>
      </w:pPr>
      <w:r>
        <w:t xml:space="preserve">При этом муниципальная программа </w:t>
      </w:r>
      <w:r w:rsidRPr="00D22BA5">
        <w:t xml:space="preserve">"Развитие муниципальной службы и противодействие коррупции в сфере деятельности администрации </w:t>
      </w:r>
      <w:proofErr w:type="spellStart"/>
      <w:r w:rsidRPr="00D22BA5">
        <w:t>Грачевского</w:t>
      </w:r>
      <w:proofErr w:type="spellEnd"/>
      <w:r w:rsidRPr="00D22BA5">
        <w:t xml:space="preserve"> муниципального района и ее органах"</w:t>
      </w:r>
      <w:r>
        <w:t xml:space="preserve"> исполнена на 97,21%. Остаток неиспользованных средств бюджета муниципального района  составил 1,05 тыс. рублей. Причины неполного освоения бюджетных сре</w:t>
      </w:r>
      <w:proofErr w:type="gramStart"/>
      <w:r>
        <w:t>дств в р</w:t>
      </w:r>
      <w:proofErr w:type="gramEnd"/>
      <w:r>
        <w:t xml:space="preserve">амках реализации муниципальных </w:t>
      </w:r>
      <w:r w:rsidRPr="00305CBC">
        <w:t>программ в текстовой части Пояснительной записки (ф. 0503160) не отражены.</w:t>
      </w:r>
    </w:p>
    <w:p w:rsidR="00ED30C9" w:rsidRPr="007771FB" w:rsidRDefault="00ED30C9" w:rsidP="00EC4566">
      <w:pPr>
        <w:widowControl w:val="0"/>
        <w:ind w:firstLine="709"/>
        <w:jc w:val="both"/>
      </w:pPr>
      <w:r w:rsidRPr="007771FB"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ED30C9" w:rsidRPr="007771FB" w:rsidRDefault="00ED30C9" w:rsidP="00EC4566">
      <w:pPr>
        <w:widowControl w:val="0"/>
        <w:ind w:firstLine="709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 с оглавлением и сопроводительным письмом</w:t>
      </w:r>
      <w:r w:rsidRPr="007771FB">
        <w:t xml:space="preserve">. </w:t>
      </w:r>
    </w:p>
    <w:p w:rsidR="00ED30C9" w:rsidRDefault="00ED30C9" w:rsidP="00EC4566">
      <w:pPr>
        <w:widowControl w:val="0"/>
        <w:ind w:firstLine="709"/>
        <w:jc w:val="both"/>
      </w:pPr>
      <w:r w:rsidRPr="007771FB">
        <w:t xml:space="preserve"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 </w:t>
      </w:r>
    </w:p>
    <w:p w:rsidR="00ED30C9" w:rsidRDefault="00ED30C9" w:rsidP="00EC4566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>
        <w:t>финансового управления</w:t>
      </w:r>
      <w:r w:rsidRPr="00DF11F3">
        <w:t>, как главного распорядителя средств местного бюджета за 20</w:t>
      </w:r>
      <w:r>
        <w:t>19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Pr="002D2A60" w:rsidRDefault="00C54B81" w:rsidP="00EC4566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EC4566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EC4566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EC4566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EC4566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ED30C9" w:rsidRPr="00174038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174038">
        <w:t>1. Годовая бюджетная отчетность об исполнении бюджета за 2019 год представлена главным распорядителем бюджетных средств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ED30C9" w:rsidRPr="00174038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174038">
        <w:t>2. Финансовое управление в отчетном периоде осуществляла отдельные функции и полномочия учредителя в отношении 1 муниципального казенного учреждения.</w:t>
      </w:r>
    </w:p>
    <w:p w:rsidR="00ED30C9" w:rsidRPr="00174038" w:rsidRDefault="00ED30C9" w:rsidP="00EC456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174038">
        <w:t xml:space="preserve">3. Плановые показатели, указанные в бюджетной отчетности об исполнении бюджета за 2019 год, соответствуют показателям утвержденного бюджета </w:t>
      </w:r>
      <w:proofErr w:type="spellStart"/>
      <w:r w:rsidRPr="00174038">
        <w:t>Грачевского</w:t>
      </w:r>
      <w:proofErr w:type="spellEnd"/>
      <w:r w:rsidRPr="00174038">
        <w:t xml:space="preserve"> муниципального района Ставропольского края с учетом изменений, внесенных в ходе исполнения бюджета.</w:t>
      </w:r>
    </w:p>
    <w:p w:rsidR="00ED30C9" w:rsidRPr="00174038" w:rsidRDefault="00ED30C9" w:rsidP="00EC4566">
      <w:pPr>
        <w:widowControl w:val="0"/>
        <w:autoSpaceDE w:val="0"/>
        <w:autoSpaceDN w:val="0"/>
        <w:adjustRightInd w:val="0"/>
        <w:ind w:firstLine="709"/>
        <w:jc w:val="both"/>
      </w:pPr>
      <w:r w:rsidRPr="00174038">
        <w:t xml:space="preserve">4. </w:t>
      </w:r>
      <w:proofErr w:type="gramStart"/>
      <w:r w:rsidRPr="00174038">
        <w:t>Выборочной проверкой содержания, полноты, сопоставимости показателей представленной годовой отчетности установлено, что контрольные соотношения между показателями форм годовой бюджетной отчетности главным распорядителем бюджетных средств соблюдены.</w:t>
      </w:r>
      <w:proofErr w:type="gramEnd"/>
    </w:p>
    <w:p w:rsidR="00ED30C9" w:rsidRPr="00174038" w:rsidRDefault="00ED30C9" w:rsidP="00EC4566">
      <w:pPr>
        <w:widowControl w:val="0"/>
        <w:ind w:firstLine="709"/>
        <w:jc w:val="both"/>
        <w:rPr>
          <w:bCs/>
        </w:rPr>
      </w:pPr>
      <w:r w:rsidRPr="00174038">
        <w:t xml:space="preserve">5.  Согласно отчетным данным по форме (ф. 0503127) «Отчета об исполнении бюджета главного распорядителя, распорядителя, получателя бюджетных средств, главного </w:t>
      </w:r>
      <w:r w:rsidRPr="00174038">
        <w:lastRenderedPageBreak/>
        <w:t>администратора, администратора источников финансирования дефицита бюджета, главного администратора, администратора доходов бюджета» уточненный</w:t>
      </w:r>
      <w:r w:rsidRPr="00174038">
        <w:rPr>
          <w:bCs/>
        </w:rPr>
        <w:t xml:space="preserve"> план по доходам составил 218 937,57 тыс. рублей. Поступление доходов за отчетный период составило </w:t>
      </w:r>
      <w:r w:rsidRPr="00174038">
        <w:rPr>
          <w:bCs/>
          <w:iCs/>
        </w:rPr>
        <w:t>218 981,70 тыс. рублей, или 100,02 процентов</w:t>
      </w:r>
      <w:r w:rsidRPr="00174038">
        <w:rPr>
          <w:bCs/>
        </w:rPr>
        <w:t>.</w:t>
      </w:r>
    </w:p>
    <w:p w:rsidR="00ED30C9" w:rsidRPr="00174038" w:rsidRDefault="00ED30C9" w:rsidP="00EC4566">
      <w:pPr>
        <w:widowControl w:val="0"/>
        <w:ind w:firstLine="709"/>
        <w:contextualSpacing/>
        <w:jc w:val="both"/>
        <w:rPr>
          <w:bCs/>
        </w:rPr>
      </w:pPr>
      <w:r w:rsidRPr="00174038">
        <w:t>По расходам</w:t>
      </w:r>
      <w:r w:rsidRPr="00174038">
        <w:rPr>
          <w:bCs/>
        </w:rPr>
        <w:t xml:space="preserve"> </w:t>
      </w:r>
      <w:r w:rsidRPr="00174038">
        <w:t>уточненный план</w:t>
      </w:r>
      <w:r w:rsidRPr="00174038">
        <w:rPr>
          <w:bCs/>
        </w:rPr>
        <w:t xml:space="preserve"> составил 91 719,04 тыс. рублей, исполнено </w:t>
      </w:r>
      <w:r w:rsidRPr="00174038">
        <w:rPr>
          <w:bCs/>
          <w:iCs/>
        </w:rPr>
        <w:t>90 313,25 тыс. рублей, или 98,47 процентов</w:t>
      </w:r>
      <w:r w:rsidRPr="00174038">
        <w:rPr>
          <w:bCs/>
        </w:rPr>
        <w:t xml:space="preserve">. Неисполнение составило </w:t>
      </w:r>
      <w:r w:rsidRPr="00174038">
        <w:rPr>
          <w:bCs/>
          <w:iCs/>
        </w:rPr>
        <w:t>1 405,79 тыс. рублей</w:t>
      </w:r>
      <w:r w:rsidRPr="00174038">
        <w:rPr>
          <w:bCs/>
        </w:rPr>
        <w:t xml:space="preserve">. </w:t>
      </w:r>
    </w:p>
    <w:p w:rsidR="00ED30C9" w:rsidRPr="00174038" w:rsidRDefault="00ED30C9" w:rsidP="00EC4566">
      <w:pPr>
        <w:widowControl w:val="0"/>
        <w:ind w:firstLine="709"/>
        <w:contextualSpacing/>
        <w:jc w:val="both"/>
        <w:rPr>
          <w:bCs/>
          <w:iCs/>
        </w:rPr>
      </w:pPr>
      <w:r w:rsidRPr="00174038">
        <w:t>6. Согласно сведениям Баланса (ф. 0503130) и</w:t>
      </w:r>
      <w:r w:rsidRPr="00174038">
        <w:rPr>
          <w:b/>
        </w:rPr>
        <w:t xml:space="preserve"> </w:t>
      </w:r>
      <w:r w:rsidRPr="00174038">
        <w:t>в ходе проверки ф. 0503169 «Сведения о дебиторской и кредиторской задолженности» установлено наличие задолженности в размере: дебиторская задолженность – 616 947,17 тыс. рублей, кредиторская задолженность – 16,88 тыс. рублей.  На 01.01.2020 п</w:t>
      </w:r>
      <w:r w:rsidRPr="00174038">
        <w:rPr>
          <w:bCs/>
          <w:iCs/>
        </w:rPr>
        <w:t>росроченная дебиторская и</w:t>
      </w:r>
      <w:r w:rsidRPr="00174038">
        <w:t xml:space="preserve"> кредиторская</w:t>
      </w:r>
      <w:r w:rsidRPr="00174038">
        <w:rPr>
          <w:bCs/>
          <w:iCs/>
        </w:rPr>
        <w:t xml:space="preserve"> задолженность отсутствует.</w:t>
      </w:r>
    </w:p>
    <w:p w:rsidR="00ED30C9" w:rsidRPr="00174038" w:rsidRDefault="00ED30C9" w:rsidP="00EC4566">
      <w:pPr>
        <w:widowControl w:val="0"/>
        <w:shd w:val="clear" w:color="auto" w:fill="FFFFFF" w:themeFill="background1"/>
        <w:suppressAutoHyphens/>
        <w:ind w:firstLine="709"/>
        <w:jc w:val="both"/>
      </w:pPr>
      <w:r w:rsidRPr="00174038">
        <w:t xml:space="preserve">7. В отчетном периоде финансовое управление принимала участие в мероприятиях по реализации двух муниципальных программ. Плановый объем бюджетных ассигнований местного бюджета, администратором которых является финансовое управление, направленных на реализацию муниципальных программ, составил 64 267,65 тыс. рублей, исполнение сложилось в сумме 64 266,60 тыс. рублей, или 100% к объему выделенных средств. </w:t>
      </w:r>
    </w:p>
    <w:p w:rsidR="00ED30C9" w:rsidRPr="00174038" w:rsidRDefault="00ED30C9" w:rsidP="00EC4566">
      <w:pPr>
        <w:widowControl w:val="0"/>
        <w:suppressAutoHyphens/>
        <w:ind w:firstLine="709"/>
        <w:jc w:val="both"/>
      </w:pPr>
      <w:r w:rsidRPr="00174038">
        <w:t xml:space="preserve">8. </w:t>
      </w:r>
      <w:r w:rsidRPr="007F3BC1">
        <w:t xml:space="preserve">По результатам проведенной внешней проверки бюджетной, сводной бухгалтерской  отчетности </w:t>
      </w:r>
      <w:r>
        <w:t>финансового управления</w:t>
      </w:r>
      <w:r w:rsidRPr="007F3BC1">
        <w:t xml:space="preserve"> за 2019 год Контрольно-счетная комиссия считает, что представленная бюджетная отчетность </w:t>
      </w:r>
      <w:r>
        <w:t>финансового управления</w:t>
      </w:r>
      <w:r w:rsidRPr="007F3BC1">
        <w:t xml:space="preserve"> в целом соответствует действующему законодательству</w:t>
      </w:r>
      <w:r w:rsidRPr="00174038">
        <w:t>.</w:t>
      </w:r>
    </w:p>
    <w:p w:rsidR="001C6A97" w:rsidRDefault="001C6A97" w:rsidP="00EC4566">
      <w:pPr>
        <w:widowControl w:val="0"/>
        <w:ind w:firstLine="709"/>
        <w:jc w:val="both"/>
        <w:rPr>
          <w:rFonts w:eastAsiaTheme="minorHAnsi"/>
          <w:b/>
          <w:lang w:eastAsia="en-US"/>
        </w:rPr>
      </w:pPr>
    </w:p>
    <w:p w:rsidR="00C54B81" w:rsidRPr="00C54B81" w:rsidRDefault="00C54B81" w:rsidP="00EC4566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ED30C9" w:rsidRPr="00174038" w:rsidRDefault="00ED30C9" w:rsidP="00EC4566">
      <w:pPr>
        <w:widowControl w:val="0"/>
        <w:suppressAutoHyphens/>
        <w:ind w:firstLine="709"/>
        <w:jc w:val="both"/>
      </w:pPr>
      <w:r w:rsidRPr="00174038">
        <w:t>На основании проведенной внешней проверки бюджетной отчетности финансового управления за 2019 год Контрольно-счетная комиссия рекомендует:</w:t>
      </w:r>
    </w:p>
    <w:p w:rsidR="00ED30C9" w:rsidRPr="00174038" w:rsidRDefault="00ED30C9" w:rsidP="00EC4566">
      <w:pPr>
        <w:widowControl w:val="0"/>
        <w:suppressAutoHyphens/>
        <w:ind w:firstLine="709"/>
        <w:jc w:val="both"/>
      </w:pPr>
      <w:r w:rsidRPr="00174038"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ED30C9" w:rsidRPr="00174038" w:rsidRDefault="00ED30C9" w:rsidP="00EC4566">
      <w:pPr>
        <w:widowControl w:val="0"/>
        <w:suppressAutoHyphens/>
        <w:ind w:firstLine="709"/>
        <w:jc w:val="both"/>
      </w:pPr>
      <w:r>
        <w:t>2</w:t>
      </w:r>
      <w:r w:rsidRPr="00174038">
        <w:t xml:space="preserve">. усилить внутренний финансовый </w:t>
      </w:r>
      <w:proofErr w:type="gramStart"/>
      <w:r w:rsidRPr="00174038">
        <w:t>контроль за</w:t>
      </w:r>
      <w:proofErr w:type="gramEnd"/>
      <w:r w:rsidRPr="00174038"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707D49" w:rsidRPr="004A5D56" w:rsidRDefault="00707D49" w:rsidP="00EC4566">
      <w:pPr>
        <w:widowControl w:val="0"/>
        <w:suppressAutoHyphens/>
        <w:ind w:firstLine="709"/>
        <w:jc w:val="both"/>
      </w:pPr>
      <w:bookmarkStart w:id="0" w:name="_GoBack"/>
      <w:bookmarkEnd w:id="0"/>
    </w:p>
    <w:sectPr w:rsidR="00707D49" w:rsidRPr="004A5D56" w:rsidSect="00EC4566">
      <w:footerReference w:type="default" r:id="rId9"/>
      <w:pgSz w:w="11906" w:h="16838"/>
      <w:pgMar w:top="1134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28" w:rsidRDefault="00E54728" w:rsidP="000C573B">
      <w:r>
        <w:separator/>
      </w:r>
    </w:p>
  </w:endnote>
  <w:endnote w:type="continuationSeparator" w:id="0">
    <w:p w:rsidR="00E54728" w:rsidRDefault="00E54728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24250"/>
      <w:docPartObj>
        <w:docPartGallery w:val="Page Numbers (Bottom of Page)"/>
        <w:docPartUnique/>
      </w:docPartObj>
    </w:sdtPr>
    <w:sdtEndPr/>
    <w:sdtContent>
      <w:p w:rsidR="001C4FE8" w:rsidRDefault="001C4FE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17">
          <w:rPr>
            <w:noProof/>
          </w:rPr>
          <w:t>4</w:t>
        </w:r>
        <w:r>
          <w:fldChar w:fldCharType="end"/>
        </w:r>
      </w:p>
    </w:sdtContent>
  </w:sdt>
  <w:p w:rsidR="001C4FE8" w:rsidRDefault="001C4F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28" w:rsidRDefault="00E54728" w:rsidP="000C573B">
      <w:r>
        <w:separator/>
      </w:r>
    </w:p>
  </w:footnote>
  <w:footnote w:type="continuationSeparator" w:id="0">
    <w:p w:rsidR="00E54728" w:rsidRDefault="00E54728" w:rsidP="000C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35C6D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54728"/>
    <w:rsid w:val="00E6148C"/>
    <w:rsid w:val="00E6168D"/>
    <w:rsid w:val="00E6482F"/>
    <w:rsid w:val="00E74A57"/>
    <w:rsid w:val="00E75C7D"/>
    <w:rsid w:val="00E77431"/>
    <w:rsid w:val="00E8027E"/>
    <w:rsid w:val="00E83E17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4566"/>
    <w:rsid w:val="00EC68E7"/>
    <w:rsid w:val="00ED30C9"/>
    <w:rsid w:val="00EE485D"/>
    <w:rsid w:val="00EE5A1E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773B-2FDB-4068-8BE9-92AD427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28</cp:revision>
  <cp:lastPrinted>2020-05-07T11:40:00Z</cp:lastPrinted>
  <dcterms:created xsi:type="dcterms:W3CDTF">2019-12-20T06:07:00Z</dcterms:created>
  <dcterms:modified xsi:type="dcterms:W3CDTF">2020-12-23T10:59:00Z</dcterms:modified>
</cp:coreProperties>
</file>