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2275"/>
        <w:gridCol w:w="3978"/>
      </w:tblGrid>
      <w:tr w:rsidR="00506ECC" w:rsidRPr="00462B7E" w:rsidTr="009D5929">
        <w:tc>
          <w:tcPr>
            <w:tcW w:w="3171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324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4019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Приложение 4</w:t>
            </w:r>
          </w:p>
          <w:p w:rsidR="00506ECC" w:rsidRPr="00462B7E" w:rsidRDefault="00506ECC" w:rsidP="009D5929"/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</w:rPr>
            </w:pPr>
            <w:r w:rsidRPr="00462B7E">
              <w:rPr>
                <w:bCs/>
                <w:iCs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F62A77" w:rsidRDefault="00F62A77" w:rsidP="004A65BB">
      <w:pPr>
        <w:spacing w:line="240" w:lineRule="exact"/>
        <w:jc w:val="center"/>
        <w:rPr>
          <w:sz w:val="28"/>
          <w:szCs w:val="28"/>
        </w:rPr>
      </w:pPr>
    </w:p>
    <w:p w:rsidR="00841616" w:rsidRDefault="004A65BB" w:rsidP="00506EC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</w:t>
            </w:r>
            <w:r w:rsidRPr="0041735B">
              <w:rPr>
                <w:snapToGrid w:val="0"/>
              </w:rPr>
              <w:lastRenderedPageBreak/>
              <w:t>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1735B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</w:t>
            </w:r>
            <w:r w:rsidRPr="0041735B">
              <w:lastRenderedPageBreak/>
              <w:t>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 xml:space="preserve">организация и осуществление </w:t>
            </w:r>
            <w:r w:rsidRPr="0041735B">
              <w:rPr>
                <w:bCs/>
                <w:snapToGrid w:val="0"/>
                <w:spacing w:val="-6"/>
              </w:rPr>
              <w:lastRenderedPageBreak/>
              <w:t>деятельности по опеке и попечительству в области 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lastRenderedPageBreak/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 xml:space="preserve">а (за </w:t>
            </w:r>
            <w:r w:rsidRPr="0041735B">
              <w:rPr>
                <w:rFonts w:eastAsia="Calibri"/>
              </w:rPr>
              <w:lastRenderedPageBreak/>
              <w:t>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</w:t>
            </w:r>
            <w:r w:rsidRPr="0041735B">
              <w:rPr>
                <w:snapToGrid w:val="0"/>
              </w:rPr>
              <w:lastRenderedPageBreak/>
              <w:t>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D37462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 w:rsidP="00D37462">
            <w:pPr>
              <w:spacing w:line="228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41735B" w:rsidRDefault="00D37462">
            <w:pPr>
              <w:spacing w:line="228" w:lineRule="auto"/>
              <w:jc w:val="both"/>
              <w:rPr>
                <w:snapToGrid w:val="0"/>
              </w:rPr>
            </w:pPr>
            <w:r w:rsidRPr="00D37462">
              <w:rPr>
                <w:snapToGrid w:val="0"/>
              </w:rPr>
              <w:t>Субсидия бюджетам на поддержку отрасли культуры</w:t>
            </w:r>
            <w:r>
              <w:rPr>
                <w:snapToGrid w:val="0"/>
              </w:rPr>
              <w:t xml:space="preserve"> </w:t>
            </w:r>
            <w:r w:rsidRPr="00D37462">
              <w:rPr>
                <w:snapToGrid w:val="0"/>
              </w:rPr>
              <w:t xml:space="preserve">(государственная поддержка лучших работников </w:t>
            </w:r>
            <w:r w:rsidRPr="00D37462">
              <w:rPr>
                <w:snapToGrid w:val="0"/>
              </w:rPr>
              <w:lastRenderedPageBreak/>
              <w:t>муниципальных учреждений культуры, находящихся в сельской местности)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 xml:space="preserve">а (за исключением имущества, закрепленного за </w:t>
            </w:r>
            <w:r w:rsidRPr="0041735B">
              <w:rPr>
                <w:rFonts w:eastAsia="Calibri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41735B">
              <w:rPr>
                <w:snapToGrid w:val="0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02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A77434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987AD5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202F9" w:rsidRDefault="00B202F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202F9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</w:t>
            </w:r>
            <w:r w:rsidRPr="00125DD0">
              <w:rPr>
                <w:snapToGrid w:val="0"/>
                <w:color w:val="000000"/>
              </w:rPr>
              <w:lastRenderedPageBreak/>
              <w:t>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 xml:space="preserve">организаций на реализацию проекта Благоустройство прилегающей территории к памятнику "Братская могила </w:t>
            </w:r>
            <w:r w:rsidRPr="00EC020C">
              <w:rPr>
                <w:snapToGrid w:val="0"/>
                <w:color w:val="000000"/>
              </w:rPr>
              <w:lastRenderedPageBreak/>
              <w:t>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Default="004A65BB" w:rsidP="00506ECC">
      <w:pPr>
        <w:spacing w:line="240" w:lineRule="exact"/>
        <w:rPr>
          <w:sz w:val="26"/>
          <w:szCs w:val="26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  <w:bookmarkStart w:id="0" w:name="_GoBack"/>
      <w:bookmarkEnd w:id="0"/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CB2" w:rsidRDefault="004C3CB2" w:rsidP="0041735B">
      <w:r>
        <w:separator/>
      </w:r>
    </w:p>
  </w:endnote>
  <w:endnote w:type="continuationSeparator" w:id="0">
    <w:p w:rsidR="004C3CB2" w:rsidRDefault="004C3CB2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CB2" w:rsidRDefault="004C3CB2" w:rsidP="0041735B">
      <w:r>
        <w:separator/>
      </w:r>
    </w:p>
  </w:footnote>
  <w:footnote w:type="continuationSeparator" w:id="0">
    <w:p w:rsidR="004C3CB2" w:rsidRDefault="004C3CB2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146A4"/>
    <w:rsid w:val="00027DC0"/>
    <w:rsid w:val="00031213"/>
    <w:rsid w:val="000738FA"/>
    <w:rsid w:val="00081B6C"/>
    <w:rsid w:val="000874F3"/>
    <w:rsid w:val="00091628"/>
    <w:rsid w:val="000B1EF2"/>
    <w:rsid w:val="000D1618"/>
    <w:rsid w:val="000E078F"/>
    <w:rsid w:val="00125DD0"/>
    <w:rsid w:val="00132CB9"/>
    <w:rsid w:val="00160193"/>
    <w:rsid w:val="00160D67"/>
    <w:rsid w:val="00167B55"/>
    <w:rsid w:val="00181320"/>
    <w:rsid w:val="001A4C9C"/>
    <w:rsid w:val="001A58CB"/>
    <w:rsid w:val="001B66F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6F7A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C3CB2"/>
    <w:rsid w:val="004E2A3C"/>
    <w:rsid w:val="004E50BD"/>
    <w:rsid w:val="00506ECC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B30B4"/>
    <w:rsid w:val="006D43EF"/>
    <w:rsid w:val="006F5723"/>
    <w:rsid w:val="006F649D"/>
    <w:rsid w:val="00725A9D"/>
    <w:rsid w:val="0073316C"/>
    <w:rsid w:val="00765A1E"/>
    <w:rsid w:val="00774398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567BF"/>
    <w:rsid w:val="008921D2"/>
    <w:rsid w:val="00892AD3"/>
    <w:rsid w:val="008A555E"/>
    <w:rsid w:val="008B6BD6"/>
    <w:rsid w:val="008F1370"/>
    <w:rsid w:val="008F7F83"/>
    <w:rsid w:val="009131BF"/>
    <w:rsid w:val="00931327"/>
    <w:rsid w:val="009451B8"/>
    <w:rsid w:val="00966631"/>
    <w:rsid w:val="00972003"/>
    <w:rsid w:val="00987AD5"/>
    <w:rsid w:val="00995262"/>
    <w:rsid w:val="009A2311"/>
    <w:rsid w:val="009B3B1F"/>
    <w:rsid w:val="009C4D69"/>
    <w:rsid w:val="009E5B59"/>
    <w:rsid w:val="00A013B0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202F9"/>
    <w:rsid w:val="00B57B42"/>
    <w:rsid w:val="00B623AC"/>
    <w:rsid w:val="00B650BD"/>
    <w:rsid w:val="00B93D35"/>
    <w:rsid w:val="00BB1D45"/>
    <w:rsid w:val="00BB4716"/>
    <w:rsid w:val="00BE7AE8"/>
    <w:rsid w:val="00BF0A4F"/>
    <w:rsid w:val="00C050A1"/>
    <w:rsid w:val="00C066CF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37462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312F-3CF4-4007-83AA-4618426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20</Pages>
  <Words>7972</Words>
  <Characters>45445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21</cp:revision>
  <cp:lastPrinted>2021-04-13T10:27:00Z</cp:lastPrinted>
  <dcterms:created xsi:type="dcterms:W3CDTF">2021-02-17T06:11:00Z</dcterms:created>
  <dcterms:modified xsi:type="dcterms:W3CDTF">2021-04-13T10:28:00Z</dcterms:modified>
</cp:coreProperties>
</file>