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59" w:rsidRPr="00DB6EAA" w:rsidRDefault="006C4159" w:rsidP="006C4159">
      <w:pPr>
        <w:pStyle w:val="ConsNormal"/>
        <w:widowControl/>
        <w:tabs>
          <w:tab w:val="left" w:pos="1800"/>
        </w:tabs>
        <w:ind w:left="360" w:firstLine="0"/>
        <w:jc w:val="center"/>
        <w:rPr>
          <w:rFonts w:ascii="Times New Roman" w:hAnsi="Times New Roman"/>
          <w:sz w:val="24"/>
          <w:szCs w:val="24"/>
        </w:rPr>
      </w:pPr>
    </w:p>
    <w:p w:rsidR="006C4159" w:rsidRPr="00A300C6" w:rsidRDefault="006C4159" w:rsidP="006C4159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C4159" w:rsidRPr="00A405BD" w:rsidRDefault="006C4159" w:rsidP="00FD23DB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405BD">
        <w:rPr>
          <w:rFonts w:eastAsia="Calibri"/>
          <w:lang w:eastAsia="en-US"/>
        </w:rPr>
        <w:t>Информация об основных итогах</w:t>
      </w:r>
    </w:p>
    <w:p w:rsidR="00C201FC" w:rsidRDefault="006C4159" w:rsidP="00FD23DB">
      <w:pPr>
        <w:suppressAutoHyphens w:val="0"/>
        <w:autoSpaceDE w:val="0"/>
        <w:autoSpaceDN w:val="0"/>
        <w:adjustRightInd w:val="0"/>
        <w:jc w:val="center"/>
      </w:pPr>
      <w:r w:rsidRPr="00A405BD">
        <w:rPr>
          <w:rFonts w:eastAsia="Calibri"/>
          <w:lang w:eastAsia="en-US"/>
        </w:rPr>
        <w:t>контрольного мероприятия</w:t>
      </w:r>
      <w:r w:rsidR="00FD23DB" w:rsidRPr="00FD23DB">
        <w:rPr>
          <w:rFonts w:eastAsia="Calibri"/>
          <w:lang w:eastAsia="en-US"/>
        </w:rPr>
        <w:t xml:space="preserve"> </w:t>
      </w:r>
      <w:r w:rsidR="00C201FC" w:rsidRPr="00EA1004">
        <w:rPr>
          <w:rFonts w:eastAsia="Calibri"/>
          <w:lang w:eastAsia="en-US"/>
        </w:rPr>
        <w:t>«</w:t>
      </w:r>
      <w:r w:rsidR="00C201FC" w:rsidRPr="003E6493">
        <w:rPr>
          <w:rFonts w:eastAsia="Calibri"/>
          <w:lang w:eastAsia="en-US"/>
        </w:rPr>
        <w:t xml:space="preserve">Проверка законности, результативности (эффективности и экономности) использования   иных межбюджетных трансфертов, предоставленных из бюджета </w:t>
      </w:r>
      <w:proofErr w:type="spellStart"/>
      <w:r w:rsidR="00C201FC" w:rsidRPr="003E6493">
        <w:rPr>
          <w:rFonts w:eastAsia="Calibri"/>
          <w:lang w:eastAsia="en-US"/>
        </w:rPr>
        <w:t>Грачевского</w:t>
      </w:r>
      <w:proofErr w:type="spellEnd"/>
      <w:r w:rsidR="00C201FC" w:rsidRPr="003E6493">
        <w:rPr>
          <w:rFonts w:eastAsia="Calibri"/>
          <w:lang w:eastAsia="en-US"/>
        </w:rPr>
        <w:t xml:space="preserve"> муниципального района  Ставропольского края  в  2019 году бюджету муниципального образования </w:t>
      </w:r>
      <w:proofErr w:type="spellStart"/>
      <w:r w:rsidR="00C201FC" w:rsidRPr="003E6493">
        <w:rPr>
          <w:rFonts w:eastAsia="Calibri"/>
          <w:lang w:eastAsia="en-US"/>
        </w:rPr>
        <w:t>Грачевского</w:t>
      </w:r>
      <w:proofErr w:type="spellEnd"/>
      <w:r w:rsidR="00C201FC" w:rsidRPr="003E6493">
        <w:rPr>
          <w:rFonts w:eastAsia="Calibri"/>
          <w:lang w:eastAsia="en-US"/>
        </w:rPr>
        <w:t xml:space="preserve"> сельсовета </w:t>
      </w:r>
      <w:proofErr w:type="spellStart"/>
      <w:r w:rsidR="00C201FC" w:rsidRPr="003E6493">
        <w:rPr>
          <w:rFonts w:eastAsia="Calibri"/>
          <w:lang w:eastAsia="en-US"/>
        </w:rPr>
        <w:t>Грачевского</w:t>
      </w:r>
      <w:proofErr w:type="spellEnd"/>
      <w:r w:rsidR="00C201FC" w:rsidRPr="003E6493">
        <w:rPr>
          <w:rFonts w:eastAsia="Calibri"/>
          <w:lang w:eastAsia="en-US"/>
        </w:rPr>
        <w:t xml:space="preserve"> района Ставропольского края на осуществление функций административного центра</w:t>
      </w:r>
      <w:r w:rsidR="00C201FC" w:rsidRPr="00EA1004">
        <w:rPr>
          <w:rFonts w:eastAsia="Calibri"/>
          <w:lang w:eastAsia="en-US"/>
        </w:rPr>
        <w:t>»</w:t>
      </w:r>
      <w:r w:rsidR="00C201FC">
        <w:t>.</w:t>
      </w:r>
    </w:p>
    <w:p w:rsidR="00C201FC" w:rsidRDefault="00C201FC" w:rsidP="00C201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01FC" w:rsidRDefault="00C201FC" w:rsidP="00C201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Цели контрольного мероприятия:</w:t>
      </w:r>
    </w:p>
    <w:p w:rsidR="00C201FC" w:rsidRDefault="00C201FC" w:rsidP="00C201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proofErr w:type="gramStart"/>
      <w:r w:rsidRPr="003E6493">
        <w:rPr>
          <w:rFonts w:eastAsia="Calibri"/>
          <w:lang w:eastAsia="en-US"/>
        </w:rPr>
        <w:t xml:space="preserve">Проверка законности, результативности (эффективности и экономности) использования иных межбюджетных трансфертов, предоставленных из бюджета </w:t>
      </w:r>
      <w:proofErr w:type="spellStart"/>
      <w:r w:rsidRPr="003E6493">
        <w:rPr>
          <w:rFonts w:eastAsia="Calibri"/>
          <w:lang w:eastAsia="en-US"/>
        </w:rPr>
        <w:t>Грачевского</w:t>
      </w:r>
      <w:proofErr w:type="spellEnd"/>
      <w:r w:rsidRPr="003E6493">
        <w:rPr>
          <w:rFonts w:eastAsia="Calibri"/>
          <w:lang w:eastAsia="en-US"/>
        </w:rPr>
        <w:t xml:space="preserve"> муниципального района  Ставропольского края  в  2019 году бюджету муниципального образования </w:t>
      </w:r>
      <w:proofErr w:type="spellStart"/>
      <w:r w:rsidRPr="003E6493">
        <w:rPr>
          <w:rFonts w:eastAsia="Calibri"/>
          <w:lang w:eastAsia="en-US"/>
        </w:rPr>
        <w:t>Грачевского</w:t>
      </w:r>
      <w:proofErr w:type="spellEnd"/>
      <w:r w:rsidRPr="003E6493">
        <w:rPr>
          <w:rFonts w:eastAsia="Calibri"/>
          <w:lang w:eastAsia="en-US"/>
        </w:rPr>
        <w:t xml:space="preserve"> сельсовета </w:t>
      </w:r>
      <w:proofErr w:type="spellStart"/>
      <w:r w:rsidRPr="003E6493">
        <w:rPr>
          <w:rFonts w:eastAsia="Calibri"/>
          <w:lang w:eastAsia="en-US"/>
        </w:rPr>
        <w:t>Грачевского</w:t>
      </w:r>
      <w:proofErr w:type="spellEnd"/>
      <w:r w:rsidRPr="003E6493">
        <w:rPr>
          <w:rFonts w:eastAsia="Calibri"/>
          <w:lang w:eastAsia="en-US"/>
        </w:rPr>
        <w:t xml:space="preserve"> района Ставропольского края на осуществление функций административного центра, а также соблюдения установленного порядка компенсации затрат села Грачевка в связи с осуществлением им функций административного центра района</w:t>
      </w:r>
      <w:r w:rsidRPr="00EA1004">
        <w:rPr>
          <w:rFonts w:eastAsia="Calibri"/>
          <w:lang w:eastAsia="en-US"/>
        </w:rPr>
        <w:t>.</w:t>
      </w:r>
      <w:proofErr w:type="gramEnd"/>
    </w:p>
    <w:p w:rsidR="00C201FC" w:rsidRDefault="00C201FC" w:rsidP="00C201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01FC" w:rsidRDefault="00C201FC" w:rsidP="00C201F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Объект контрольного мероприятия: </w:t>
      </w:r>
      <w:r w:rsidRPr="003E6493">
        <w:rPr>
          <w:rFonts w:eastAsia="Calibri"/>
          <w:lang w:eastAsia="en-US"/>
        </w:rPr>
        <w:t xml:space="preserve">Администрация муниципального образования </w:t>
      </w:r>
      <w:proofErr w:type="spellStart"/>
      <w:r w:rsidRPr="003E6493">
        <w:rPr>
          <w:rFonts w:eastAsia="Calibri"/>
          <w:lang w:eastAsia="en-US"/>
        </w:rPr>
        <w:t>Грачевского</w:t>
      </w:r>
      <w:proofErr w:type="spellEnd"/>
      <w:r w:rsidRPr="003E6493">
        <w:rPr>
          <w:rFonts w:eastAsia="Calibri"/>
          <w:lang w:eastAsia="en-US"/>
        </w:rPr>
        <w:t xml:space="preserve"> сельсовета (далее – администрация поселения)</w:t>
      </w:r>
      <w:r>
        <w:rPr>
          <w:rFonts w:eastAsia="Calibri"/>
          <w:lang w:eastAsia="en-US"/>
        </w:rPr>
        <w:t>.</w:t>
      </w:r>
    </w:p>
    <w:p w:rsidR="00C201FC" w:rsidRDefault="00C201FC" w:rsidP="00C201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           </w:t>
      </w:r>
    </w:p>
    <w:p w:rsidR="00C201FC" w:rsidRDefault="00C201FC" w:rsidP="00C201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 результатам контрольного мероприятия установлено следующее: </w:t>
      </w:r>
    </w:p>
    <w:p w:rsidR="00C201FC" w:rsidRDefault="00C201FC" w:rsidP="00C201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1. Администрация муниципального образования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сельсовета (далее – администрация поселения) – испол</w:t>
      </w:r>
      <w:r w:rsidR="00ED1DB3">
        <w:rPr>
          <w:lang w:eastAsia="ru-RU"/>
        </w:rPr>
        <w:t>н</w:t>
      </w:r>
      <w:r>
        <w:rPr>
          <w:lang w:eastAsia="ru-RU"/>
        </w:rPr>
        <w:t xml:space="preserve">ительно-распорядительный орган местного самоуправления поселения, наделенный Уставом муниципального образования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сельсовета Ставропольского края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Ставропольского края.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2. Администрация поселения осуществляет свою деятельность в соответствии с нормативными правовыми актами Российской Федерации и Ставропольского края, Уставом, решениями представительного органа поселения, Положением об администрации поселении.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3. </w:t>
      </w:r>
      <w:proofErr w:type="gramStart"/>
      <w:r>
        <w:rPr>
          <w:lang w:eastAsia="ru-RU"/>
        </w:rPr>
        <w:t xml:space="preserve">Администрация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сельсовета организует на территории муниципального образования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района Ставропольского края  реализацию задач по решению вопросов местного значения, осуществлению отдельных государственных полномочий, переданных органам местного самоуправления муниципального образования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района Ставропольского края законами Российской Федерации и законами Ставропольского края, а также полномочий, переданных органами местного самоуправления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муниципального района Ставропольского края, на основании соглашений.</w:t>
      </w:r>
      <w:proofErr w:type="gramEnd"/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4. Ответственными лицами за финансово-хозяйственную деятельность Администрации поселения в проверяемом периоде и на  момент проведения проверки  являлись: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с правом первой подписи: 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- глава муниципального образования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района  Ставропольского края Сараев Александр Николаевич с 23.11.2018 г. по настоящее время.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с правом второй подписи: главный специалист-главный бухгалтер администрации муниципального образования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района  Ставропольского края Луценко Елена Вячеславовна с 09.01.2019  по настоящее время.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5. Предоставление иных межбюджетных трансфертов из бюджета района администрации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сельсовета осуществлялось в рамках реализации решения </w:t>
      </w:r>
      <w:r>
        <w:rPr>
          <w:lang w:eastAsia="ru-RU"/>
        </w:rPr>
        <w:lastRenderedPageBreak/>
        <w:t xml:space="preserve">Совета № 17 от 15.04.2019 «Об утверждении Положения о статусе административного центра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муниципального района Ставропольского края» (далее – Положение о статусе административного центра).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6. </w:t>
      </w:r>
      <w:proofErr w:type="gramStart"/>
      <w:r>
        <w:rPr>
          <w:lang w:eastAsia="ru-RU"/>
        </w:rPr>
        <w:t xml:space="preserve">В ходе исполнения бюджета района, в соответствии с поступившими от администрации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сельсовета предложениями по формированию направлений финансирования расходов бюджета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муниципального района Ставропольского края, связанных с осуществлением селом Грачевка функций административного центра района в бюджет района вносились изменения в части уточнения расходов бюджета района на реализацию решения Совета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муниципального района «Об утверждении Положения о статусе административного центра </w:t>
      </w:r>
      <w:proofErr w:type="spellStart"/>
      <w:r>
        <w:rPr>
          <w:lang w:eastAsia="ru-RU"/>
        </w:rPr>
        <w:t>Грачевского</w:t>
      </w:r>
      <w:proofErr w:type="spellEnd"/>
      <w:proofErr w:type="gramEnd"/>
      <w:r>
        <w:rPr>
          <w:lang w:eastAsia="ru-RU"/>
        </w:rPr>
        <w:t xml:space="preserve"> муниципального района Ставропольского края» (решения Совета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муниципального района Ставропольского края № 19 от 15.04.2019, № 29 от 18.06.2019, № 35 от 06.08.2019).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7. </w:t>
      </w:r>
      <w:proofErr w:type="gramStart"/>
      <w:r>
        <w:rPr>
          <w:lang w:eastAsia="ru-RU"/>
        </w:rPr>
        <w:t xml:space="preserve">Финансовым управлением администрации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муниципального района уведомлением от 07.08.2019 № 7 администрации муниципального образования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сельсовета доведены лимиты бюджетных обязательств на 2019 год на расходы за счет средств иных межбюджетных трансфертов, предоставленных из бюджета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муниципального района  Ставропольского края  в  2019 году бюджету муниципального образования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района Ставропольского края на осуществление функций административного центра в сумме 3 894 992,60</w:t>
      </w:r>
      <w:proofErr w:type="gramEnd"/>
      <w:r>
        <w:rPr>
          <w:lang w:eastAsia="ru-RU"/>
        </w:rPr>
        <w:t xml:space="preserve"> рублей.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8. В соответствии с п. 7 ст. 6 Положения о статусе административного центра, в целях перечисления иных межбюджетных трансфертов из бюджета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муниципального района администрация МО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сельсовета представляла в Администрацию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муниципального района заявки на предоставление иного межбюджетного трансферта с приложением сопутствующих документов.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9. Утвержденные Решением о бюджете района № 88 бюджетные назначения доведены финансовым управлением администрации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муниципального района Администрации поселения в сумме 3 887 688,57 рублей или 100% от потребности финансирования.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10. </w:t>
      </w:r>
      <w:proofErr w:type="gramStart"/>
      <w:r>
        <w:rPr>
          <w:lang w:eastAsia="ru-RU"/>
        </w:rPr>
        <w:t>В ходе контрольного мероприятия установлено, что в рамках осуществления селом Грачевка функций административного центра района администрацией поселения проведено два электронных аукциона (0121300033119000006, 0121300033119000008), по результатам которых заключено два муниципальных контракта на общую сумму 3 637 967,35 рублей, а также заключено 3 договора в рамках проведения закупки у единственного поставщика по основаниям, предусмотренным пп.4 п. ст. 93 Закона № 44-ФЗ, на</w:t>
      </w:r>
      <w:proofErr w:type="gramEnd"/>
      <w:r>
        <w:rPr>
          <w:lang w:eastAsia="ru-RU"/>
        </w:rPr>
        <w:t xml:space="preserve"> общую сумму 249 721,22 рублей. Оплата работ, выполненных по данным контрактам, произведена администрацией поселения в полном объеме.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11. По итогам электронного аукциона 0121300033119000006 между администрацией поселения </w:t>
      </w:r>
      <w:proofErr w:type="gramStart"/>
      <w:r>
        <w:rPr>
          <w:lang w:eastAsia="ru-RU"/>
        </w:rPr>
        <w:t>и ООО</w:t>
      </w:r>
      <w:proofErr w:type="gramEnd"/>
      <w:r>
        <w:rPr>
          <w:lang w:eastAsia="ru-RU"/>
        </w:rPr>
        <w:t xml:space="preserve"> «Капитал» заключен муниципальный контракт от 12.06.2019 № 01213000331190000060001 на выполнение работ по благоустройству сквера 65-летия Победы в Великой Отечественной Войне (Детская игровая площадка). Цена контракта составила 1 949 926,00 рублей.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15 августа 2019 года между администрацией поселения </w:t>
      </w:r>
      <w:proofErr w:type="gramStart"/>
      <w:r>
        <w:rPr>
          <w:lang w:eastAsia="ru-RU"/>
        </w:rPr>
        <w:t>и ООО</w:t>
      </w:r>
      <w:proofErr w:type="gramEnd"/>
      <w:r>
        <w:rPr>
          <w:lang w:eastAsia="ru-RU"/>
        </w:rPr>
        <w:t xml:space="preserve"> «Капитал», со ссылкой на подпункт «в» пункта 1 части 1 статьи 95 Закона № 44-ФЗ, заключено дополнительное соглашение № 1 к муниципальному контракту №  01213000331190000060001, в котором стороны договорились пункт 2.1. раздела 2 «Цена контракта» изложить в новой редакции: «2.1. Цена контракта составляет 2137967 (два миллиона сто тридцать семь тысяч девятьсот шестьдесят семь) рублей 35 копеек, НДС не облагается, так как Подрядчик работает по упрощенной системе налогообложения</w:t>
      </w:r>
      <w:proofErr w:type="gramStart"/>
      <w:r>
        <w:rPr>
          <w:lang w:eastAsia="ru-RU"/>
        </w:rPr>
        <w:t xml:space="preserve">.». </w:t>
      </w:r>
      <w:proofErr w:type="gramEnd"/>
      <w:r>
        <w:rPr>
          <w:lang w:eastAsia="ru-RU"/>
        </w:rPr>
        <w:t>Также стороны пришли к соглашению изложить локально-сметный расчет в новой редакции.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При этом возможность изменения существенных условий контракта не была предусмотрена документацией о закупке. Из чего следует, что данное дополнительное соглашение было заключено в нарушение статьи 95 Закона № 44-ФЗ. 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Сумма нарушения норм законодательства о контрактной системе составила 188 041,35 рублей.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12. При проверке правильности применения норм, расценок и коэффициентов при определении сметной стоимости объекта «Благоустройство сквера 65-летия Победы в Великой Отечественной Войне (Детская игровая площадка)» установлено, что в позиции 1 локального сметного расчета № 02-01-01 «Планировка площадей: ручным способом, группа грунтов 1» указан объем «1,21» (121 м</w:t>
      </w:r>
      <w:proofErr w:type="gramStart"/>
      <w:r>
        <w:rPr>
          <w:lang w:eastAsia="ru-RU"/>
        </w:rPr>
        <w:t>2</w:t>
      </w:r>
      <w:proofErr w:type="gramEnd"/>
      <w:r>
        <w:rPr>
          <w:lang w:eastAsia="ru-RU"/>
        </w:rPr>
        <w:t>/100).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При этом, в соответствии с локальной ресурсной ведомостью ГЭСН 01-02-027-04 части 26 «Земляные работы», утвержденной постановлением Госстроя России от 26 апреля 2000 года № 36, единицей измерения является 1000 м</w:t>
      </w:r>
      <w:proofErr w:type="gramStart"/>
      <w:r>
        <w:rPr>
          <w:lang w:eastAsia="ru-RU"/>
        </w:rPr>
        <w:t>2</w:t>
      </w:r>
      <w:proofErr w:type="gramEnd"/>
      <w:r>
        <w:rPr>
          <w:lang w:eastAsia="ru-RU"/>
        </w:rPr>
        <w:t xml:space="preserve"> спланированной площади единичная расценка.</w:t>
      </w:r>
      <w:r>
        <w:rPr>
          <w:lang w:eastAsia="ru-RU"/>
        </w:rPr>
        <w:cr/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Таким образом при составлении локального сметного расчета был завышен объем на 1089 м</w:t>
      </w:r>
      <w:proofErr w:type="gramStart"/>
      <w:r>
        <w:rPr>
          <w:lang w:eastAsia="ru-RU"/>
        </w:rPr>
        <w:t>2</w:t>
      </w:r>
      <w:proofErr w:type="gramEnd"/>
      <w:r>
        <w:rPr>
          <w:lang w:eastAsia="ru-RU"/>
        </w:rPr>
        <w:t xml:space="preserve"> (1,21*1000-121), что привело к удорожанию сметной стоимости объекта и, соответственно, завышению цены контракта, заключаемого с единственным поставщиком, на сумму 12 715,00 рублей.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В ходе контрольного мероприятия администрацией муниципального образования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сельсовета данная сумма была возвращена в доход бюджета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муниципального района.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13. В рамках проведения контрольного мероприятия проведены визуальный осмотр и выборочные контрольные замеры работ, выполненных на объектах, а также сравнение их с объемами работ, указанными в актах формы № КС-2. В ходе контрольного замера расхождений не установлено.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14. </w:t>
      </w:r>
      <w:proofErr w:type="gramStart"/>
      <w:r>
        <w:rPr>
          <w:lang w:eastAsia="ru-RU"/>
        </w:rPr>
        <w:t>Согласно регистров</w:t>
      </w:r>
      <w:proofErr w:type="gramEnd"/>
      <w:r>
        <w:rPr>
          <w:lang w:eastAsia="ru-RU"/>
        </w:rPr>
        <w:t xml:space="preserve"> бухгалтерского учета объекты благоустройства сквера 65-летия Победы в Великой Отечественной Войне учтены и оприходованы администрацией поселения в полном объеме.</w:t>
      </w:r>
    </w:p>
    <w:p w:rsidR="00C201FC" w:rsidRDefault="00C201FC" w:rsidP="00C201FC">
      <w:pPr>
        <w:tabs>
          <w:tab w:val="left" w:pos="709"/>
        </w:tabs>
        <w:ind w:firstLine="709"/>
        <w:jc w:val="both"/>
        <w:rPr>
          <w:rFonts w:eastAsia="Calibri"/>
          <w:sz w:val="20"/>
          <w:szCs w:val="20"/>
          <w:vertAlign w:val="superscript"/>
          <w:lang w:eastAsia="en-US"/>
        </w:rPr>
      </w:pPr>
      <w:r>
        <w:rPr>
          <w:lang w:eastAsia="ru-RU"/>
        </w:rPr>
        <w:tab/>
      </w:r>
      <w:r>
        <w:rPr>
          <w:lang w:eastAsia="ru-RU"/>
        </w:rPr>
        <w:tab/>
      </w:r>
    </w:p>
    <w:p w:rsidR="00480D60" w:rsidRDefault="00480D60" w:rsidP="00C201FC">
      <w:pPr>
        <w:suppressAutoHyphens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sectPr w:rsidR="00480D60" w:rsidSect="00174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A4" w:rsidRDefault="00EA17A4" w:rsidP="0017405A">
      <w:r>
        <w:separator/>
      </w:r>
    </w:p>
  </w:endnote>
  <w:endnote w:type="continuationSeparator" w:id="0">
    <w:p w:rsidR="00EA17A4" w:rsidRDefault="00EA17A4" w:rsidP="0017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389718"/>
      <w:docPartObj>
        <w:docPartGallery w:val="Page Numbers (Bottom of Page)"/>
        <w:docPartUnique/>
      </w:docPartObj>
    </w:sdtPr>
    <w:sdtEndPr/>
    <w:sdtContent>
      <w:p w:rsidR="0017405A" w:rsidRDefault="001740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DB">
          <w:rPr>
            <w:noProof/>
          </w:rPr>
          <w:t>2</w:t>
        </w:r>
        <w:r>
          <w:fldChar w:fldCharType="end"/>
        </w:r>
      </w:p>
    </w:sdtContent>
  </w:sdt>
  <w:p w:rsidR="0017405A" w:rsidRDefault="001740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A4" w:rsidRDefault="00EA17A4" w:rsidP="0017405A">
      <w:r>
        <w:separator/>
      </w:r>
    </w:p>
  </w:footnote>
  <w:footnote w:type="continuationSeparator" w:id="0">
    <w:p w:rsidR="00EA17A4" w:rsidRDefault="00EA17A4" w:rsidP="00174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9F"/>
    <w:rsid w:val="00012592"/>
    <w:rsid w:val="00013292"/>
    <w:rsid w:val="00020C38"/>
    <w:rsid w:val="00043120"/>
    <w:rsid w:val="00076A43"/>
    <w:rsid w:val="00085C28"/>
    <w:rsid w:val="000C359C"/>
    <w:rsid w:val="000E6C65"/>
    <w:rsid w:val="00126E6B"/>
    <w:rsid w:val="0017405A"/>
    <w:rsid w:val="001B135C"/>
    <w:rsid w:val="001D015B"/>
    <w:rsid w:val="002A2C55"/>
    <w:rsid w:val="002D1931"/>
    <w:rsid w:val="00343069"/>
    <w:rsid w:val="00354327"/>
    <w:rsid w:val="003866B3"/>
    <w:rsid w:val="003F77BE"/>
    <w:rsid w:val="00407981"/>
    <w:rsid w:val="0046238E"/>
    <w:rsid w:val="00480D60"/>
    <w:rsid w:val="004A16A2"/>
    <w:rsid w:val="0058169E"/>
    <w:rsid w:val="00583208"/>
    <w:rsid w:val="00606C8C"/>
    <w:rsid w:val="0066139F"/>
    <w:rsid w:val="00680728"/>
    <w:rsid w:val="00693F21"/>
    <w:rsid w:val="006C4159"/>
    <w:rsid w:val="006E0C58"/>
    <w:rsid w:val="006E4CF1"/>
    <w:rsid w:val="007A240C"/>
    <w:rsid w:val="007C7225"/>
    <w:rsid w:val="007F79BC"/>
    <w:rsid w:val="008A271D"/>
    <w:rsid w:val="008D5002"/>
    <w:rsid w:val="0098574F"/>
    <w:rsid w:val="009D1BCD"/>
    <w:rsid w:val="00A11CE5"/>
    <w:rsid w:val="00C201FC"/>
    <w:rsid w:val="00C679FF"/>
    <w:rsid w:val="00C96563"/>
    <w:rsid w:val="00D3476F"/>
    <w:rsid w:val="00D43F65"/>
    <w:rsid w:val="00D45073"/>
    <w:rsid w:val="00D92D9B"/>
    <w:rsid w:val="00DA5715"/>
    <w:rsid w:val="00DB69A7"/>
    <w:rsid w:val="00E04742"/>
    <w:rsid w:val="00E11797"/>
    <w:rsid w:val="00E61309"/>
    <w:rsid w:val="00EA1004"/>
    <w:rsid w:val="00EA17A4"/>
    <w:rsid w:val="00ED1DB3"/>
    <w:rsid w:val="00F87090"/>
    <w:rsid w:val="00FD23DB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59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4159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87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90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semiHidden/>
    <w:unhideWhenUsed/>
    <w:rsid w:val="00FE12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59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4159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87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90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semiHidden/>
    <w:unhideWhenUsed/>
    <w:rsid w:val="00FE1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9E5D-5A9B-4461-AA5A-044A8558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KSK</cp:lastModifiedBy>
  <cp:revision>34</cp:revision>
  <cp:lastPrinted>2020-09-07T05:49:00Z</cp:lastPrinted>
  <dcterms:created xsi:type="dcterms:W3CDTF">2019-08-14T08:19:00Z</dcterms:created>
  <dcterms:modified xsi:type="dcterms:W3CDTF">2020-12-23T12:20:00Z</dcterms:modified>
</cp:coreProperties>
</file>