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05" w:rsidRDefault="00393A22" w:rsidP="00393A22">
      <w:pPr>
        <w:jc w:val="center"/>
      </w:pPr>
      <w:r>
        <w:t xml:space="preserve">Отчет </w:t>
      </w:r>
      <w:r w:rsidRPr="00393A22">
        <w:t>по результатам внешней проверки годовой бюджетной отчетности управления труда и социальной защиты населения администрации Грачевского муниципального района за 2013 год</w:t>
      </w:r>
    </w:p>
    <w:p w:rsidR="00393A22" w:rsidRDefault="00393A22"/>
    <w:p w:rsidR="00393A22" w:rsidRDefault="00393A22"/>
    <w:p w:rsidR="00393A22" w:rsidRDefault="00393A22" w:rsidP="00393A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00F3">
        <w:rPr>
          <w:sz w:val="28"/>
          <w:szCs w:val="28"/>
        </w:rPr>
        <w:t>Представленная годовая бюджетная отчетность об исполнении бюджета за 201</w:t>
      </w:r>
      <w:r>
        <w:rPr>
          <w:sz w:val="28"/>
          <w:szCs w:val="28"/>
        </w:rPr>
        <w:t>3</w:t>
      </w:r>
      <w:r w:rsidRPr="001E00F3">
        <w:rPr>
          <w:sz w:val="28"/>
          <w:szCs w:val="28"/>
        </w:rPr>
        <w:t xml:space="preserve"> год составлена в рублях с точностью до второго десятичного знака после запятой, в сброшюрованном виде с нумерацией страниц, отчетность подписана руководителем и главным бухгалтером, все обязательные реквизиты форм отчетности заполнены.</w:t>
      </w:r>
    </w:p>
    <w:p w:rsidR="00393A22" w:rsidRPr="001E00F3" w:rsidRDefault="00393A22" w:rsidP="00393A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35729">
        <w:rPr>
          <w:sz w:val="28"/>
          <w:szCs w:val="28"/>
        </w:rPr>
        <w:t>Достоверность представленной бюджетной отчетность подтверждена данными Главной книги, материалами инвентаризации имущества и финансовых обязательств, другими регистрами бюджетного учета.</w:t>
      </w:r>
    </w:p>
    <w:p w:rsidR="00393A22" w:rsidRPr="001E00F3" w:rsidRDefault="00393A22" w:rsidP="00393A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00F3">
        <w:rPr>
          <w:sz w:val="28"/>
          <w:szCs w:val="28"/>
        </w:rPr>
        <w:t>Плановые показатели, указанные в бюджетной отчетности об исполнении бюджета за 201</w:t>
      </w:r>
      <w:r>
        <w:rPr>
          <w:sz w:val="28"/>
          <w:szCs w:val="28"/>
        </w:rPr>
        <w:t>3</w:t>
      </w:r>
      <w:r w:rsidRPr="001E00F3">
        <w:rPr>
          <w:sz w:val="28"/>
          <w:szCs w:val="28"/>
        </w:rPr>
        <w:t xml:space="preserve"> год соответствуют показателям сводной бюджетной росписи с учетом изменений, внесенных в ходе исполнения бюджета.</w:t>
      </w:r>
    </w:p>
    <w:p w:rsidR="00393A22" w:rsidRDefault="00393A22" w:rsidP="00393A22">
      <w:pPr>
        <w:rPr>
          <w:lang w:eastAsia="ru-RU"/>
        </w:rPr>
      </w:pPr>
      <w:r>
        <w:rPr>
          <w:lang w:eastAsia="ru-RU"/>
        </w:rPr>
        <w:t>4.</w:t>
      </w:r>
      <w:r w:rsidRPr="0075376E">
        <w:rPr>
          <w:lang w:eastAsia="ru-RU"/>
        </w:rPr>
        <w:t xml:space="preserve"> </w:t>
      </w:r>
      <w:r w:rsidRPr="00656854">
        <w:rPr>
          <w:lang w:eastAsia="ru-RU"/>
        </w:rPr>
        <w:t>Не представлен</w:t>
      </w:r>
      <w:r>
        <w:rPr>
          <w:lang w:eastAsia="ru-RU"/>
        </w:rPr>
        <w:t>ы</w:t>
      </w:r>
      <w:r w:rsidRPr="00656854">
        <w:rPr>
          <w:lang w:eastAsia="ru-RU"/>
        </w:rPr>
        <w:t xml:space="preserve"> форм</w:t>
      </w:r>
      <w:r>
        <w:rPr>
          <w:lang w:eastAsia="ru-RU"/>
        </w:rPr>
        <w:t xml:space="preserve">ы № 0503167 «Сведения о целевых иностранных кредитах» и  </w:t>
      </w:r>
      <w:r w:rsidRPr="00656854">
        <w:rPr>
          <w:lang w:eastAsia="ru-RU"/>
        </w:rPr>
        <w:t>№</w:t>
      </w:r>
      <w:r>
        <w:rPr>
          <w:lang w:eastAsia="ru-RU"/>
        </w:rPr>
        <w:t> </w:t>
      </w:r>
      <w:r w:rsidRPr="00656854">
        <w:rPr>
          <w:lang w:eastAsia="ru-RU"/>
        </w:rPr>
        <w:t>0503</w:t>
      </w:r>
      <w:r>
        <w:rPr>
          <w:lang w:eastAsia="ru-RU"/>
        </w:rPr>
        <w:t>230</w:t>
      </w:r>
      <w:r w:rsidRPr="00656854">
        <w:rPr>
          <w:lang w:eastAsia="ru-RU"/>
        </w:rPr>
        <w:t xml:space="preserve"> «</w:t>
      </w:r>
      <w:r w:rsidRPr="00D923E5">
        <w:rPr>
          <w:bCs/>
          <w:iCs/>
          <w:lang w:eastAsia="ru-RU"/>
        </w:rPr>
        <w:t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656854">
        <w:rPr>
          <w:lang w:eastAsia="ru-RU"/>
        </w:rPr>
        <w:t>» и в разделе 5 Пояснительной записки (ф. 0503160) не включен</w:t>
      </w:r>
      <w:r>
        <w:rPr>
          <w:lang w:eastAsia="ru-RU"/>
        </w:rPr>
        <w:t xml:space="preserve">ы </w:t>
      </w:r>
      <w:r w:rsidRPr="00656854">
        <w:rPr>
          <w:lang w:eastAsia="ru-RU"/>
        </w:rPr>
        <w:t>в перечень не представленных в составе отчета документов.</w:t>
      </w:r>
      <w:r>
        <w:rPr>
          <w:lang w:eastAsia="ru-RU"/>
        </w:rPr>
        <w:t xml:space="preserve"> В нарушение пункта 8 Инструкции № 191н в составе Пояснительной записки представлены формы: Таблица № 6 «Сведения об исполнении текстовых статей закона (решения) о бюджете», № 0503176 «Сведения по ущербу имуществу, хищениях денежных средств и материальных ценностей», которые не имеют числовых значений. </w:t>
      </w:r>
    </w:p>
    <w:p w:rsidR="00393A22" w:rsidRPr="00656854" w:rsidRDefault="00393A22" w:rsidP="00393A22">
      <w:pPr>
        <w:widowControl w:val="0"/>
        <w:suppressAutoHyphens/>
        <w:spacing w:line="200" w:lineRule="atLeast"/>
        <w:ind w:firstLine="708"/>
        <w:rPr>
          <w:b/>
          <w:bCs/>
          <w:lang w:eastAsia="ru-RU"/>
        </w:rPr>
      </w:pPr>
      <w:r>
        <w:t xml:space="preserve">5. </w:t>
      </w:r>
      <w:proofErr w:type="gramStart"/>
      <w:r>
        <w:t>Дополнительно в составе отчетности Управления труда и социальной защиты населения за 2013 год представлен «Отчет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фондом» (ф. 0503324), не указанный в п. 11.1 Инструкции № 191н и не обязательный к представлению Управлением труда и социальной защиты населения как главным администратором средств районного бюджета.</w:t>
      </w:r>
      <w:proofErr w:type="gramEnd"/>
    </w:p>
    <w:p w:rsidR="00393A22" w:rsidRPr="00656854" w:rsidRDefault="00393A22" w:rsidP="00393A22">
      <w:pPr>
        <w:rPr>
          <w:lang w:eastAsia="ru-RU"/>
        </w:rPr>
      </w:pPr>
      <w:r>
        <w:rPr>
          <w:lang w:eastAsia="ru-RU"/>
        </w:rPr>
        <w:t xml:space="preserve">6. </w:t>
      </w:r>
      <w:r w:rsidRPr="00656854">
        <w:rPr>
          <w:lang w:eastAsia="ru-RU"/>
        </w:rPr>
        <w:t>Проверкой содержания, полноты, сопоставимости показателей представленной годовой отчетности  установлено:</w:t>
      </w:r>
    </w:p>
    <w:p w:rsidR="00393A22" w:rsidRDefault="00393A22" w:rsidP="00393A22">
      <w:pPr>
        <w:rPr>
          <w:lang w:eastAsia="ru-RU"/>
        </w:rPr>
      </w:pPr>
      <w:proofErr w:type="gramStart"/>
      <w:r w:rsidRPr="00656854">
        <w:rPr>
          <w:lang w:eastAsia="ru-RU"/>
        </w:rPr>
        <w:t>1)  в нарушение требований пункта  54 Инструкции №</w:t>
      </w:r>
      <w:r>
        <w:rPr>
          <w:lang w:eastAsia="ru-RU"/>
        </w:rPr>
        <w:t> </w:t>
      </w:r>
      <w:r w:rsidRPr="00656854">
        <w:rPr>
          <w:lang w:eastAsia="ru-RU"/>
        </w:rPr>
        <w:t xml:space="preserve"> 191н в графе 3 Отчета (ф. 0503127) не отражены </w:t>
      </w:r>
      <w:proofErr w:type="spellStart"/>
      <w:r w:rsidRPr="00656854">
        <w:rPr>
          <w:lang w:eastAsia="ru-RU"/>
        </w:rPr>
        <w:t>группировочные</w:t>
      </w:r>
      <w:proofErr w:type="spellEnd"/>
      <w:r w:rsidRPr="00656854">
        <w:rPr>
          <w:lang w:eastAsia="ru-RU"/>
        </w:rPr>
        <w:t xml:space="preserve"> коды в части расходов по бюджетной классификации Российской Федерации;</w:t>
      </w:r>
      <w:proofErr w:type="gramEnd"/>
    </w:p>
    <w:p w:rsidR="00393A22" w:rsidRDefault="00393A22" w:rsidP="00393A22">
      <w:pPr>
        <w:rPr>
          <w:lang w:eastAsia="ru-RU"/>
        </w:rPr>
      </w:pPr>
      <w:r>
        <w:rPr>
          <w:lang w:eastAsia="ru-RU"/>
        </w:rPr>
        <w:t xml:space="preserve">2) </w:t>
      </w:r>
      <w:r w:rsidRPr="00656854">
        <w:rPr>
          <w:lang w:eastAsia="ru-RU"/>
        </w:rPr>
        <w:t xml:space="preserve">в нарушение требований пункта 70 Инструкции № 191н в графе 3 Отчета (ф. 0503128) не отражены </w:t>
      </w:r>
      <w:proofErr w:type="spellStart"/>
      <w:r w:rsidRPr="00656854">
        <w:rPr>
          <w:lang w:eastAsia="ru-RU"/>
        </w:rPr>
        <w:t>группировочные</w:t>
      </w:r>
      <w:proofErr w:type="spellEnd"/>
      <w:r w:rsidRPr="00656854">
        <w:rPr>
          <w:lang w:eastAsia="ru-RU"/>
        </w:rPr>
        <w:t xml:space="preserve"> коды по бюджетной </w:t>
      </w:r>
      <w:r w:rsidRPr="00656854">
        <w:rPr>
          <w:lang w:eastAsia="ru-RU"/>
        </w:rPr>
        <w:lastRenderedPageBreak/>
        <w:t>классификации Российской Федерации в структуре бюджетных назначений по расходам</w:t>
      </w:r>
      <w:r>
        <w:rPr>
          <w:lang w:eastAsia="ru-RU"/>
        </w:rPr>
        <w:t>;</w:t>
      </w:r>
    </w:p>
    <w:p w:rsidR="00393A22" w:rsidRDefault="00393A22" w:rsidP="00393A22">
      <w:pPr>
        <w:rPr>
          <w:lang w:eastAsia="ru-RU"/>
        </w:rPr>
      </w:pPr>
      <w:r>
        <w:rPr>
          <w:lang w:eastAsia="ru-RU"/>
        </w:rPr>
        <w:t>4) в нарушение требований пункта 96 Инструкции № 191н  в Отчете о финансовых результатах (ф.0503121)  неверно отражены данные по строкам 321, 322;</w:t>
      </w:r>
    </w:p>
    <w:p w:rsidR="00393A22" w:rsidRDefault="00393A22" w:rsidP="00393A22">
      <w:pPr>
        <w:rPr>
          <w:lang w:eastAsia="ru-RU"/>
        </w:rPr>
      </w:pPr>
      <w:r w:rsidRPr="007000D5">
        <w:rPr>
          <w:lang w:eastAsia="ru-RU"/>
        </w:rPr>
        <w:t xml:space="preserve">В результате </w:t>
      </w:r>
      <w:proofErr w:type="gramStart"/>
      <w:r w:rsidRPr="007000D5">
        <w:rPr>
          <w:lang w:eastAsia="ru-RU"/>
        </w:rPr>
        <w:t xml:space="preserve">проверки остальных документов годовой бюджетной отчетности  </w:t>
      </w:r>
      <w:r>
        <w:t>Управления труда</w:t>
      </w:r>
      <w:proofErr w:type="gramEnd"/>
      <w:r>
        <w:t xml:space="preserve"> и социальной защиты населения</w:t>
      </w:r>
      <w:r w:rsidRPr="007000D5">
        <w:rPr>
          <w:lang w:eastAsia="ru-RU"/>
        </w:rPr>
        <w:t xml:space="preserve"> нарушений не установлено.</w:t>
      </w:r>
    </w:p>
    <w:p w:rsidR="00393A22" w:rsidRDefault="00393A22" w:rsidP="00393A22">
      <w:pPr>
        <w:rPr>
          <w:bCs/>
        </w:rPr>
      </w:pPr>
      <w:r>
        <w:t xml:space="preserve">7. </w:t>
      </w:r>
      <w:r w:rsidRPr="00BB464D">
        <w:t>По доходам</w:t>
      </w:r>
      <w:r w:rsidRPr="00E25DA3">
        <w:rPr>
          <w:bCs/>
        </w:rPr>
        <w:t xml:space="preserve"> </w:t>
      </w:r>
      <w:r>
        <w:t>уточненный</w:t>
      </w:r>
      <w:r w:rsidRPr="00E25DA3">
        <w:rPr>
          <w:bCs/>
        </w:rPr>
        <w:t xml:space="preserve"> </w:t>
      </w:r>
      <w:r>
        <w:rPr>
          <w:bCs/>
        </w:rPr>
        <w:t>план</w:t>
      </w:r>
      <w:r w:rsidRPr="00E25DA3">
        <w:rPr>
          <w:bCs/>
        </w:rPr>
        <w:t xml:space="preserve"> составил </w:t>
      </w:r>
      <w:r>
        <w:rPr>
          <w:bCs/>
        </w:rPr>
        <w:t xml:space="preserve">153 124,9 </w:t>
      </w:r>
      <w:r w:rsidRPr="00E25DA3">
        <w:rPr>
          <w:bCs/>
        </w:rPr>
        <w:t xml:space="preserve">тыс. рублей. Поступление доходов за отчетный период составило </w:t>
      </w:r>
      <w:r>
        <w:rPr>
          <w:bCs/>
        </w:rPr>
        <w:t>152089,8</w:t>
      </w:r>
      <w:r w:rsidRPr="00E25DA3">
        <w:rPr>
          <w:bCs/>
        </w:rPr>
        <w:t xml:space="preserve"> тыс. рублей или </w:t>
      </w:r>
      <w:r>
        <w:rPr>
          <w:bCs/>
        </w:rPr>
        <w:t>99,32</w:t>
      </w:r>
      <w:r w:rsidRPr="00E25DA3">
        <w:rPr>
          <w:bCs/>
        </w:rPr>
        <w:t xml:space="preserve">%. </w:t>
      </w:r>
    </w:p>
    <w:p w:rsidR="00393A22" w:rsidRPr="001E00F3" w:rsidRDefault="00393A22" w:rsidP="00393A22">
      <w:pPr>
        <w:contextualSpacing/>
        <w:rPr>
          <w:lang w:eastAsia="ru-RU"/>
        </w:rPr>
      </w:pPr>
      <w:r w:rsidRPr="00BB464D">
        <w:t>По расходам</w:t>
      </w:r>
      <w:r>
        <w:rPr>
          <w:bCs/>
        </w:rPr>
        <w:t xml:space="preserve"> </w:t>
      </w:r>
      <w:r>
        <w:t>уточненный план</w:t>
      </w:r>
      <w:r>
        <w:rPr>
          <w:bCs/>
        </w:rPr>
        <w:t xml:space="preserve"> составил 153 392,5 тыс. рублей,  исполнено 152352,8 тыс. рублей или 99,32%. Неисполнение составило 1039,7 тыс. рублей. </w:t>
      </w:r>
    </w:p>
    <w:p w:rsidR="00393A22" w:rsidRDefault="00393A22" w:rsidP="00393A22">
      <w:pPr>
        <w:widowControl w:val="0"/>
        <w:suppressAutoHyphens/>
        <w:spacing w:line="200" w:lineRule="atLeast"/>
        <w:ind w:firstLine="708"/>
      </w:pPr>
      <w:r>
        <w:t>8. Дебиторская задолженность по состоянию на отчетную дату составила по счету 020500000 «Расчеты по доходам»  - «минус» 185,19 рублей, по счету 020600000 15772,78 рублей.</w:t>
      </w:r>
    </w:p>
    <w:p w:rsidR="00393A22" w:rsidRDefault="00393A22" w:rsidP="00393A22">
      <w:pPr>
        <w:widowControl w:val="0"/>
        <w:suppressAutoHyphens/>
        <w:spacing w:line="200" w:lineRule="atLeast"/>
        <w:ind w:firstLine="708"/>
      </w:pPr>
      <w:r>
        <w:t xml:space="preserve">Кредиторская задолженность по расчетам с поставщиками и подрядчиками по состоянию на 01.01.2014 года отсутствует, что аналогично предыдущему финансовому году. </w:t>
      </w:r>
    </w:p>
    <w:p w:rsidR="00393A22" w:rsidRDefault="00393A22" w:rsidP="00393A22">
      <w:r>
        <w:t xml:space="preserve">         9. В отчетном периоде Управление труда и социальной защиты населения принимало участие в реализации мероприятий в рамках муниципальной целевой программы «Доступная среда в Грачевском муниципальном районе Ставропольского края на 2013-2015 годы». Плановый объем ассигнований в сумме 80,9 тыс. рублей использован в полном объеме для создания </w:t>
      </w:r>
      <w:proofErr w:type="spellStart"/>
      <w:r>
        <w:t>безбарьерной</w:t>
      </w:r>
      <w:proofErr w:type="spellEnd"/>
      <w:r>
        <w:t xml:space="preserve"> среды для инвалидов и других маломобильных групп населения.</w:t>
      </w:r>
      <w:bookmarkStart w:id="0" w:name="_GoBack"/>
      <w:bookmarkEnd w:id="0"/>
    </w:p>
    <w:sectPr w:rsidR="0039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22"/>
    <w:rsid w:val="00393A22"/>
    <w:rsid w:val="00A9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93A2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93A2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</cp:revision>
  <dcterms:created xsi:type="dcterms:W3CDTF">2014-09-03T06:48:00Z</dcterms:created>
  <dcterms:modified xsi:type="dcterms:W3CDTF">2014-09-03T06:49:00Z</dcterms:modified>
</cp:coreProperties>
</file>