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64" w:rsidRPr="00224464" w:rsidRDefault="00224464" w:rsidP="00224464">
      <w:pPr>
        <w:jc w:val="center"/>
      </w:pPr>
      <w:r>
        <w:t xml:space="preserve">Отчет </w:t>
      </w:r>
      <w:r w:rsidRPr="00224464">
        <w:t>по результатам внешней проверки годовой бюджетной отчетности отдела имущественных и земельных отношений администрации Грачевского муниципального района за 2013 год</w:t>
      </w:r>
    </w:p>
    <w:p w:rsidR="00A96A05" w:rsidRDefault="00A96A05" w:rsidP="00224464">
      <w:pPr>
        <w:jc w:val="center"/>
      </w:pPr>
    </w:p>
    <w:p w:rsidR="00224464" w:rsidRDefault="00224464" w:rsidP="00224464">
      <w:pPr>
        <w:jc w:val="center"/>
      </w:pPr>
    </w:p>
    <w:p w:rsidR="00224464" w:rsidRDefault="00224464" w:rsidP="00224464">
      <w:pPr>
        <w:jc w:val="center"/>
      </w:pPr>
    </w:p>
    <w:p w:rsidR="00224464" w:rsidRDefault="00224464" w:rsidP="002244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0F3">
        <w:rPr>
          <w:sz w:val="28"/>
          <w:szCs w:val="28"/>
        </w:rPr>
        <w:t>Представленная годовая бюджетная отчетность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224464" w:rsidRPr="001E00F3" w:rsidRDefault="00224464" w:rsidP="002244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6E53">
        <w:rPr>
          <w:sz w:val="28"/>
          <w:szCs w:val="28"/>
        </w:rPr>
        <w:t>Достоверность представленной бюджетной отчетность подтверждена данными Главной книги, материалами инвентаризации имущества и финансовых обязательств, другими регистрами бюджетного учета.</w:t>
      </w:r>
    </w:p>
    <w:p w:rsidR="00224464" w:rsidRPr="001E00F3" w:rsidRDefault="00224464" w:rsidP="002244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0F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224464" w:rsidRDefault="00224464" w:rsidP="002244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00F3">
        <w:rPr>
          <w:sz w:val="28"/>
          <w:szCs w:val="28"/>
        </w:rPr>
        <w:t>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соблюдена внутренняя согласованность соответствующих форм бюджетной отчетности.</w:t>
      </w:r>
    </w:p>
    <w:p w:rsidR="00224464" w:rsidRPr="004C0CDF" w:rsidRDefault="00224464" w:rsidP="00224464">
      <w:pPr>
        <w:rPr>
          <w:lang w:eastAsia="ru-RU"/>
        </w:rPr>
      </w:pPr>
      <w:r>
        <w:rPr>
          <w:lang w:eastAsia="ru-RU"/>
        </w:rPr>
        <w:t xml:space="preserve">5. </w:t>
      </w:r>
      <w:r w:rsidRPr="004C0CDF">
        <w:rPr>
          <w:lang w:eastAsia="ru-RU"/>
        </w:rPr>
        <w:t>Не представлены формы № 0503125 «Справка по консолидируемым расчетам»,  № 0503230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в разделе 5 Пояснительной записки (ф. 0503160) не включены в перечень не представленных в составе отчета документов.</w:t>
      </w:r>
    </w:p>
    <w:p w:rsidR="00224464" w:rsidRPr="004C0CDF" w:rsidRDefault="00224464" w:rsidP="00224464">
      <w:pPr>
        <w:rPr>
          <w:lang w:eastAsia="ru-RU"/>
        </w:rPr>
      </w:pPr>
      <w:r>
        <w:rPr>
          <w:lang w:eastAsia="ru-RU"/>
        </w:rPr>
        <w:t xml:space="preserve">6. </w:t>
      </w:r>
      <w:r w:rsidRPr="004C0CDF">
        <w:rPr>
          <w:lang w:eastAsia="ru-RU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224464" w:rsidRPr="004C0CDF" w:rsidRDefault="00224464" w:rsidP="00224464">
      <w:pPr>
        <w:rPr>
          <w:lang w:eastAsia="ru-RU"/>
        </w:rPr>
      </w:pPr>
      <w:r w:rsidRPr="004C0CDF">
        <w:rPr>
          <w:lang w:eastAsia="ru-RU"/>
        </w:rPr>
        <w:t xml:space="preserve">1)  в нарушение требований пункта  54 Инструкции №  191н в графе 3 Отчета (ф. 0503127) не отражены </w:t>
      </w:r>
      <w:proofErr w:type="spellStart"/>
      <w:r w:rsidRPr="004C0CDF">
        <w:rPr>
          <w:lang w:eastAsia="ru-RU"/>
        </w:rPr>
        <w:t>группировочные</w:t>
      </w:r>
      <w:proofErr w:type="spellEnd"/>
      <w:r w:rsidRPr="004C0CDF">
        <w:rPr>
          <w:lang w:eastAsia="ru-RU"/>
        </w:rPr>
        <w:t xml:space="preserve"> коды в части расходов по бюджетной классификации Российской Федерации;</w:t>
      </w:r>
    </w:p>
    <w:p w:rsidR="00224464" w:rsidRPr="004C0CDF" w:rsidRDefault="00224464" w:rsidP="00224464">
      <w:pPr>
        <w:rPr>
          <w:lang w:eastAsia="ru-RU"/>
        </w:rPr>
      </w:pPr>
      <w:r w:rsidRPr="004C0CDF">
        <w:rPr>
          <w:lang w:eastAsia="ru-RU"/>
        </w:rPr>
        <w:t xml:space="preserve">2) </w:t>
      </w:r>
      <w:r>
        <w:rPr>
          <w:lang w:eastAsia="ru-RU"/>
        </w:rPr>
        <w:t xml:space="preserve"> </w:t>
      </w:r>
      <w:r w:rsidRPr="004C0CDF">
        <w:rPr>
          <w:lang w:eastAsia="ru-RU"/>
        </w:rPr>
        <w:t xml:space="preserve">в Отчете </w:t>
      </w:r>
      <w:r>
        <w:rPr>
          <w:lang w:eastAsia="ru-RU"/>
        </w:rPr>
        <w:t>(</w:t>
      </w:r>
      <w:r w:rsidRPr="004C0CDF">
        <w:rPr>
          <w:lang w:eastAsia="ru-RU"/>
        </w:rPr>
        <w:t>ф. 0503127</w:t>
      </w:r>
      <w:r>
        <w:rPr>
          <w:lang w:eastAsia="ru-RU"/>
        </w:rPr>
        <w:t xml:space="preserve">) </w:t>
      </w:r>
      <w:r w:rsidRPr="004C0CDF">
        <w:rPr>
          <w:lang w:eastAsia="ru-RU"/>
        </w:rPr>
        <w:t xml:space="preserve"> в строке 450 допущена </w:t>
      </w:r>
      <w:r>
        <w:rPr>
          <w:lang w:eastAsia="ru-RU"/>
        </w:rPr>
        <w:t>техническая</w:t>
      </w:r>
      <w:r w:rsidRPr="004C0CDF">
        <w:rPr>
          <w:lang w:eastAsia="ru-RU"/>
        </w:rPr>
        <w:t xml:space="preserve"> ошибка: цифры 3570875,00 </w:t>
      </w:r>
      <w:r>
        <w:rPr>
          <w:lang w:eastAsia="ru-RU"/>
        </w:rPr>
        <w:t xml:space="preserve">следует </w:t>
      </w:r>
      <w:proofErr w:type="gramStart"/>
      <w:r w:rsidRPr="004C0CDF">
        <w:rPr>
          <w:lang w:eastAsia="ru-RU"/>
        </w:rPr>
        <w:t>заменить на цифры</w:t>
      </w:r>
      <w:proofErr w:type="gramEnd"/>
      <w:r w:rsidRPr="004C0CDF">
        <w:rPr>
          <w:lang w:eastAsia="ru-RU"/>
        </w:rPr>
        <w:t xml:space="preserve"> 3570875,55;</w:t>
      </w:r>
    </w:p>
    <w:p w:rsidR="00224464" w:rsidRPr="004C0CDF" w:rsidRDefault="00224464" w:rsidP="00224464">
      <w:pPr>
        <w:rPr>
          <w:lang w:eastAsia="ru-RU"/>
        </w:rPr>
      </w:pPr>
      <w:r w:rsidRPr="004C0CDF">
        <w:rPr>
          <w:lang w:eastAsia="ru-RU"/>
        </w:rPr>
        <w:t xml:space="preserve">3) в нарушение требований пункта 70 Инструкции № 191н в графе 3 Отчета (ф. 0503128) не отражены </w:t>
      </w:r>
      <w:proofErr w:type="spellStart"/>
      <w:r w:rsidRPr="004C0CDF">
        <w:rPr>
          <w:lang w:eastAsia="ru-RU"/>
        </w:rPr>
        <w:t>группировочные</w:t>
      </w:r>
      <w:proofErr w:type="spellEnd"/>
      <w:r w:rsidRPr="004C0CDF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расходам;</w:t>
      </w:r>
    </w:p>
    <w:p w:rsidR="00224464" w:rsidRPr="004C0CDF" w:rsidRDefault="00224464" w:rsidP="00224464">
      <w:pPr>
        <w:rPr>
          <w:lang w:eastAsia="ru-RU"/>
        </w:rPr>
      </w:pPr>
      <w:r w:rsidRPr="004C0CDF">
        <w:rPr>
          <w:lang w:eastAsia="ru-RU"/>
        </w:rPr>
        <w:t>4) в нарушение требований пункта 96 Инструкции № 191н  в Отчете о финансовых результатах (ф.0503121)  неверно отра</w:t>
      </w:r>
      <w:r>
        <w:rPr>
          <w:lang w:eastAsia="ru-RU"/>
        </w:rPr>
        <w:t>жены данные по строкам 321, 322</w:t>
      </w:r>
      <w:r w:rsidRPr="004C0CDF">
        <w:rPr>
          <w:lang w:eastAsia="ru-RU"/>
        </w:rPr>
        <w:t>;</w:t>
      </w:r>
    </w:p>
    <w:p w:rsidR="00224464" w:rsidRDefault="00224464" w:rsidP="00224464">
      <w:pPr>
        <w:rPr>
          <w:lang w:eastAsia="ru-RU"/>
        </w:rPr>
      </w:pPr>
      <w:r>
        <w:rPr>
          <w:lang w:eastAsia="ru-RU"/>
        </w:rPr>
        <w:t xml:space="preserve">5) в нарушение требований пункта 163 Инструкции № 191н строки 450, 500 формы 0503164 «Сведения об исполнении бюджета» не соответствуют данным аналогичных строк Отчета (ф. 0503127). </w:t>
      </w:r>
    </w:p>
    <w:p w:rsidR="00224464" w:rsidRDefault="00224464" w:rsidP="00224464">
      <w:pPr>
        <w:rPr>
          <w:lang w:eastAsia="ru-RU"/>
        </w:rPr>
      </w:pPr>
      <w:r w:rsidRPr="007000D5">
        <w:rPr>
          <w:lang w:eastAsia="ru-RU"/>
        </w:rPr>
        <w:lastRenderedPageBreak/>
        <w:t xml:space="preserve">В результате проверки остальных документов годовой бюджетной отчетности  </w:t>
      </w:r>
      <w:r w:rsidRPr="00FD0BF5">
        <w:rPr>
          <w:lang w:eastAsia="ru-RU"/>
        </w:rPr>
        <w:t>отдел</w:t>
      </w:r>
      <w:r>
        <w:rPr>
          <w:lang w:eastAsia="ru-RU"/>
        </w:rPr>
        <w:t>а</w:t>
      </w:r>
      <w:r w:rsidRPr="00FD0BF5">
        <w:rPr>
          <w:lang w:eastAsia="ru-RU"/>
        </w:rPr>
        <w:t xml:space="preserve"> имущественных и земельных отношений</w:t>
      </w:r>
      <w:r w:rsidRPr="007000D5">
        <w:rPr>
          <w:lang w:eastAsia="ru-RU"/>
        </w:rPr>
        <w:t xml:space="preserve"> нарушений не установлено.</w:t>
      </w:r>
    </w:p>
    <w:p w:rsidR="00224464" w:rsidRPr="001E00F3" w:rsidRDefault="00224464" w:rsidP="00224464">
      <w:r>
        <w:rPr>
          <w:lang w:eastAsia="ru-RU"/>
        </w:rPr>
        <w:t xml:space="preserve">7. По доходам уточненный план составил </w:t>
      </w:r>
      <w:r w:rsidRPr="00D64A92">
        <w:rPr>
          <w:lang w:eastAsia="ru-RU"/>
        </w:rPr>
        <w:t>3760,5 тыс. рублей. Поступление доходов за отчетный период составило 6481,5 тыс. рублей или 172,36%.</w:t>
      </w:r>
    </w:p>
    <w:p w:rsidR="00224464" w:rsidRPr="001E00F3" w:rsidRDefault="00224464" w:rsidP="00224464">
      <w:pPr>
        <w:contextualSpacing/>
      </w:pPr>
      <w:r>
        <w:t xml:space="preserve">8. По расходам уточненный план составил </w:t>
      </w:r>
      <w:r>
        <w:rPr>
          <w:bCs/>
        </w:rPr>
        <w:t xml:space="preserve">2941,9 тыс. рублей, исполнено 2910,7 тыс. рублей или 98,9%. Неисполнение составило 31,3 тыс. рублей. </w:t>
      </w:r>
    </w:p>
    <w:p w:rsidR="00224464" w:rsidRDefault="00224464" w:rsidP="00224464">
      <w:pPr>
        <w:widowControl w:val="0"/>
        <w:suppressAutoHyphens/>
        <w:spacing w:line="200" w:lineRule="atLeast"/>
        <w:ind w:firstLine="708"/>
      </w:pPr>
      <w:r>
        <w:t xml:space="preserve">9. Дебиторская и кредиторская задолженность по состоянию на 01.01.2014 года отсутствует, что подтверждено данными главной книги. </w:t>
      </w:r>
    </w:p>
    <w:p w:rsidR="00224464" w:rsidRDefault="00224464" w:rsidP="00224464">
      <w:pPr>
        <w:widowControl w:val="0"/>
        <w:suppressAutoHyphens/>
        <w:spacing w:line="200" w:lineRule="atLeast"/>
        <w:ind w:firstLine="708"/>
      </w:pPr>
      <w:r>
        <w:t xml:space="preserve">10. В отчетном периоде </w:t>
      </w:r>
      <w:r w:rsidRPr="00C668CD">
        <w:t>отдел имущественных и земельных отношений</w:t>
      </w:r>
      <w:r>
        <w:t xml:space="preserve"> не принимал участие в реализации мероприятий муниципальных целевых программ.</w:t>
      </w:r>
    </w:p>
    <w:p w:rsidR="00224464" w:rsidRDefault="00224464" w:rsidP="00224464">
      <w:bookmarkStart w:id="0" w:name="_GoBack"/>
      <w:bookmarkEnd w:id="0"/>
    </w:p>
    <w:sectPr w:rsidR="002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64"/>
    <w:rsid w:val="00224464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446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446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2014-09-03T06:52:00Z</dcterms:created>
  <dcterms:modified xsi:type="dcterms:W3CDTF">2014-09-03T06:53:00Z</dcterms:modified>
</cp:coreProperties>
</file>