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proofErr w:type="spellStart"/>
      <w:r w:rsidR="00B70584" w:rsidRPr="00B70584">
        <w:t>Спицевского</w:t>
      </w:r>
      <w:proofErr w:type="spellEnd"/>
      <w:r w:rsidR="00B70584" w:rsidRPr="00B70584">
        <w:t xml:space="preserve">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B70584" w:rsidRPr="00B70584">
        <w:rPr>
          <w:rFonts w:eastAsia="Calibri"/>
          <w:lang w:eastAsia="en-US"/>
        </w:rPr>
        <w:t xml:space="preserve">от 16 марта 2021 года № 27 «О проведении внешней проверки годовой бюджетной отчетности </w:t>
      </w:r>
      <w:proofErr w:type="spellStart"/>
      <w:r w:rsidR="00B70584" w:rsidRPr="00B70584">
        <w:rPr>
          <w:rFonts w:eastAsia="Calibri"/>
          <w:lang w:eastAsia="en-US"/>
        </w:rPr>
        <w:t>Спицевского</w:t>
      </w:r>
      <w:proofErr w:type="spellEnd"/>
      <w:r w:rsidR="00B70584" w:rsidRPr="00B70584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70584" w:rsidRPr="00B70584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B70584" w:rsidRPr="00B70584">
        <w:t>Спицевское</w:t>
      </w:r>
      <w:proofErr w:type="spellEnd"/>
      <w:r w:rsidR="00B70584" w:rsidRPr="00B70584">
        <w:t xml:space="preserve"> территориальное управление администрации Грачевского муниципального округа Ставропольского края</w:t>
      </w:r>
      <w:r w:rsidR="00654349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E82C71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B70584" w:rsidRPr="00B70584">
        <w:rPr>
          <w:rFonts w:eastAsia="Calibri"/>
          <w:lang w:eastAsia="en-US"/>
        </w:rPr>
        <w:t>Спицевское</w:t>
      </w:r>
      <w:proofErr w:type="spellEnd"/>
      <w:r w:rsidR="00B70584" w:rsidRPr="00B70584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B70584" w:rsidRPr="00B70584">
        <w:rPr>
          <w:rFonts w:eastAsia="Calibri"/>
          <w:lang w:eastAsia="en-US"/>
        </w:rPr>
        <w:t>Спицевское</w:t>
      </w:r>
      <w:proofErr w:type="spellEnd"/>
      <w:r w:rsidR="00B70584" w:rsidRPr="00B70584">
        <w:rPr>
          <w:rFonts w:eastAsia="Calibri"/>
          <w:lang w:eastAsia="en-US"/>
        </w:rPr>
        <w:t xml:space="preserve"> территориальное управление, ГАБС)</w:t>
      </w:r>
      <w:r w:rsidR="00654349" w:rsidRPr="00654349">
        <w:rPr>
          <w:rFonts w:eastAsia="Calibri"/>
          <w:lang w:eastAsia="en-US"/>
        </w:rPr>
        <w:t>.</w:t>
      </w:r>
    </w:p>
    <w:p w:rsidR="00654349" w:rsidRPr="00D947C1" w:rsidRDefault="00654349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54349" w:rsidRPr="00654349">
        <w:rPr>
          <w:bCs/>
          <w:iCs/>
        </w:rPr>
        <w:t xml:space="preserve">с </w:t>
      </w:r>
      <w:r w:rsidR="005D764B">
        <w:rPr>
          <w:bCs/>
          <w:iCs/>
        </w:rPr>
        <w:t>16</w:t>
      </w:r>
      <w:r w:rsidR="00654349" w:rsidRPr="00654349">
        <w:rPr>
          <w:bCs/>
          <w:iCs/>
        </w:rPr>
        <w:t>.03.2021 по 12.04.2021</w:t>
      </w:r>
      <w:r w:rsidR="006A07F0">
        <w:rPr>
          <w:bCs/>
          <w:iCs/>
        </w:rPr>
        <w:t>.</w:t>
      </w: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B70584" w:rsidRDefault="00B70584" w:rsidP="00B70584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</w:t>
      </w:r>
      <w:proofErr w:type="spellStart"/>
      <w:r>
        <w:t>Спицевского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№57 учреждено (создано) </w:t>
      </w:r>
      <w:proofErr w:type="spellStart"/>
      <w:r>
        <w:t>Спицевское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края.</w:t>
      </w:r>
    </w:p>
    <w:p w:rsidR="00B70584" w:rsidRDefault="00B70584" w:rsidP="00B70584">
      <w:pPr>
        <w:widowControl w:val="0"/>
        <w:ind w:firstLine="709"/>
        <w:jc w:val="both"/>
      </w:pPr>
      <w:r>
        <w:t xml:space="preserve">Решение Совета Грачевского муниципального округа Ставропольского края «Об учреждении (создании) </w:t>
      </w:r>
      <w:proofErr w:type="spellStart"/>
      <w:r>
        <w:t>Спицевского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№57 вступило в силу 9 декабря 2020 года.</w:t>
      </w:r>
    </w:p>
    <w:p w:rsidR="00B70584" w:rsidRDefault="00B70584" w:rsidP="00B70584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B70584" w:rsidRDefault="00B70584" w:rsidP="00B70584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5D764B" w:rsidRDefault="00B70584" w:rsidP="00B70584">
      <w:pPr>
        <w:widowControl w:val="0"/>
        <w:ind w:firstLine="709"/>
        <w:jc w:val="both"/>
      </w:pPr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>
        <w:t>Спицевское</w:t>
      </w:r>
      <w:proofErr w:type="spellEnd"/>
      <w:r>
        <w:t xml:space="preserve">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</w:t>
      </w:r>
      <w:proofErr w:type="spellStart"/>
      <w:r>
        <w:t>Спицевский</w:t>
      </w:r>
      <w:proofErr w:type="spellEnd"/>
      <w:r>
        <w:t xml:space="preserve"> культурно-досуговый центр» Грачевского муниципального округа Ставропольского края.</w:t>
      </w:r>
    </w:p>
    <w:p w:rsidR="00B70584" w:rsidRDefault="00B70584" w:rsidP="00B70584">
      <w:pPr>
        <w:widowControl w:val="0"/>
        <w:ind w:firstLine="709"/>
        <w:jc w:val="both"/>
      </w:pPr>
      <w:proofErr w:type="gramStart"/>
      <w:r w:rsidRPr="00B70584">
        <w:t xml:space="preserve">Согласно ст. 1 Положения о </w:t>
      </w:r>
      <w:proofErr w:type="spellStart"/>
      <w:r w:rsidRPr="00B70584">
        <w:t>Спицевском</w:t>
      </w:r>
      <w:proofErr w:type="spellEnd"/>
      <w:r w:rsidRPr="00B70584">
        <w:t xml:space="preserve"> территориальном управлении администрации Грачевского муниципального  округа Ставропольского края, утвержденного решением Совета Грачевского муниципального округа Ставропольского края от 07 декабря 2020 года № 58, </w:t>
      </w:r>
      <w:proofErr w:type="spellStart"/>
      <w:r w:rsidRPr="00B70584">
        <w:t>Спицевское</w:t>
      </w:r>
      <w:proofErr w:type="spellEnd"/>
      <w:r w:rsidRPr="00B70584">
        <w:t xml:space="preserve"> территориальное управление является территориальным органом 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полномочиями.</w:t>
      </w:r>
      <w:proofErr w:type="gramEnd"/>
    </w:p>
    <w:p w:rsidR="00B70584" w:rsidRDefault="00B70584" w:rsidP="00B70584">
      <w:pPr>
        <w:widowControl w:val="0"/>
        <w:ind w:firstLine="709"/>
        <w:jc w:val="both"/>
      </w:pPr>
      <w:r>
        <w:lastRenderedPageBreak/>
        <w:t xml:space="preserve">Финансирование </w:t>
      </w:r>
      <w:proofErr w:type="spellStart"/>
      <w:r>
        <w:t>Спицевского</w:t>
      </w:r>
      <w:proofErr w:type="spellEnd"/>
      <w:r>
        <w:t xml:space="preserve">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B70584" w:rsidRDefault="00B70584" w:rsidP="00B70584">
      <w:pPr>
        <w:widowControl w:val="0"/>
        <w:ind w:firstLine="709"/>
        <w:jc w:val="both"/>
      </w:pPr>
      <w:proofErr w:type="spellStart"/>
      <w:r>
        <w:t>Спицевское</w:t>
      </w:r>
      <w:proofErr w:type="spellEnd"/>
      <w:r>
        <w:t xml:space="preserve"> территориальное управление  является юридическим лицом. </w:t>
      </w:r>
      <w:proofErr w:type="spellStart"/>
      <w:r>
        <w:t>Спицевскому</w:t>
      </w:r>
      <w:proofErr w:type="spellEnd"/>
      <w:r>
        <w:t xml:space="preserve">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2606009372, КПП 260601001, ОГРН 1202600016410, ОКПО 46699531,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5D764B" w:rsidRDefault="005D764B" w:rsidP="005D764B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B70584" w:rsidRDefault="00B70584" w:rsidP="005D764B">
      <w:pPr>
        <w:widowControl w:val="0"/>
        <w:ind w:firstLine="709"/>
        <w:jc w:val="both"/>
        <w:rPr>
          <w:bCs/>
          <w:iCs/>
        </w:rPr>
      </w:pPr>
      <w:proofErr w:type="gramStart"/>
      <w:r w:rsidRPr="00B70584">
        <w:rPr>
          <w:bCs/>
          <w:iCs/>
        </w:rPr>
        <w:t xml:space="preserve">Годовая бюджетная отчетность </w:t>
      </w:r>
      <w:proofErr w:type="spellStart"/>
      <w:r w:rsidRPr="00B70584">
        <w:rPr>
          <w:bCs/>
          <w:iCs/>
        </w:rPr>
        <w:t>Спицевского</w:t>
      </w:r>
      <w:proofErr w:type="spellEnd"/>
      <w:r w:rsidRPr="00B70584">
        <w:rPr>
          <w:bCs/>
          <w:iCs/>
        </w:rPr>
        <w:t xml:space="preserve"> терр</w:t>
      </w:r>
      <w:r>
        <w:rPr>
          <w:bCs/>
          <w:iCs/>
        </w:rPr>
        <w:t>иториального управления за 2020 </w:t>
      </w:r>
      <w:r w:rsidRPr="00B70584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B70584">
        <w:rPr>
          <w:bCs/>
          <w:iCs/>
        </w:rPr>
        <w:t>Грачевском</w:t>
      </w:r>
      <w:proofErr w:type="spellEnd"/>
      <w:r w:rsidRPr="00B70584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B70584" w:rsidRPr="00B70584" w:rsidRDefault="00B70584" w:rsidP="00B70584">
      <w:pPr>
        <w:widowControl w:val="0"/>
        <w:ind w:firstLine="709"/>
        <w:jc w:val="both"/>
        <w:rPr>
          <w:bCs/>
          <w:iCs/>
        </w:rPr>
      </w:pPr>
      <w:proofErr w:type="gramStart"/>
      <w:r w:rsidRPr="00B70584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B70584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B70584">
        <w:rPr>
          <w:bCs/>
          <w:iCs/>
        </w:rPr>
        <w:t>Спицевское</w:t>
      </w:r>
      <w:proofErr w:type="spellEnd"/>
      <w:r w:rsidRPr="00B70584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B70584">
        <w:rPr>
          <w:bCs/>
          <w:iCs/>
        </w:rPr>
        <w:t xml:space="preserve"> бюджетных средств, получателя бюджетных средств (код ГАБС - 775).</w:t>
      </w:r>
    </w:p>
    <w:p w:rsidR="00B70584" w:rsidRPr="00B70584" w:rsidRDefault="00B70584" w:rsidP="00B70584">
      <w:pPr>
        <w:widowControl w:val="0"/>
        <w:ind w:firstLine="709"/>
        <w:jc w:val="both"/>
        <w:rPr>
          <w:bCs/>
          <w:iCs/>
        </w:rPr>
      </w:pPr>
      <w:r w:rsidRPr="00B70584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B70584">
        <w:rPr>
          <w:bCs/>
          <w:iCs/>
        </w:rPr>
        <w:t>Спицевское</w:t>
      </w:r>
      <w:proofErr w:type="spellEnd"/>
      <w:r w:rsidRPr="00B70584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B70584" w:rsidRPr="00B70584" w:rsidRDefault="00B70584" w:rsidP="00B70584">
      <w:pPr>
        <w:widowControl w:val="0"/>
        <w:ind w:firstLine="709"/>
        <w:jc w:val="both"/>
        <w:rPr>
          <w:bCs/>
          <w:iCs/>
        </w:rPr>
      </w:pPr>
      <w:r w:rsidRPr="00B70584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B70584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</w:t>
      </w:r>
      <w:proofErr w:type="spellStart"/>
      <w:r w:rsidRPr="00B70584">
        <w:rPr>
          <w:bCs/>
          <w:iCs/>
        </w:rPr>
        <w:t>Спицевскому</w:t>
      </w:r>
      <w:proofErr w:type="spellEnd"/>
      <w:r w:rsidRPr="00B70584">
        <w:rPr>
          <w:bCs/>
          <w:iCs/>
        </w:rPr>
        <w:t xml:space="preserve"> территориальному управлению, утверждены бюджетные назначения по расходам в объеме 100,00 рублей. </w:t>
      </w:r>
    </w:p>
    <w:p w:rsidR="00B70584" w:rsidRDefault="00B70584" w:rsidP="00B70584">
      <w:pPr>
        <w:widowControl w:val="0"/>
        <w:ind w:firstLine="709"/>
        <w:jc w:val="both"/>
        <w:rPr>
          <w:bCs/>
          <w:iCs/>
        </w:rPr>
      </w:pPr>
      <w:proofErr w:type="gramStart"/>
      <w:r w:rsidRPr="00B70584">
        <w:rPr>
          <w:bCs/>
          <w:iCs/>
        </w:rPr>
        <w:t xml:space="preserve">По состоянию на 31 декабря 2020 года расходы </w:t>
      </w:r>
      <w:proofErr w:type="spellStart"/>
      <w:r w:rsidRPr="00B70584">
        <w:rPr>
          <w:bCs/>
          <w:iCs/>
        </w:rPr>
        <w:t>Спицевского</w:t>
      </w:r>
      <w:proofErr w:type="spellEnd"/>
      <w:r w:rsidRPr="00B70584">
        <w:rPr>
          <w:bCs/>
          <w:iCs/>
        </w:rPr>
        <w:t xml:space="preserve">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90 489,46 </w:t>
      </w:r>
      <w:r w:rsidRPr="00B70584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90 589,46 рублей.</w:t>
      </w:r>
      <w:proofErr w:type="gramEnd"/>
    </w:p>
    <w:p w:rsidR="00B70584" w:rsidRDefault="00B70584" w:rsidP="004B407A">
      <w:pPr>
        <w:widowControl w:val="0"/>
        <w:ind w:firstLine="709"/>
        <w:jc w:val="both"/>
        <w:rPr>
          <w:bCs/>
          <w:iCs/>
        </w:rPr>
      </w:pPr>
      <w:r w:rsidRPr="00B70584">
        <w:rPr>
          <w:bCs/>
          <w:iCs/>
        </w:rPr>
        <w:t xml:space="preserve">Согласно Отчету об исполнении бюджета (форма 0503127) </w:t>
      </w:r>
      <w:proofErr w:type="spellStart"/>
      <w:r w:rsidRPr="00B70584">
        <w:rPr>
          <w:bCs/>
          <w:iCs/>
        </w:rPr>
        <w:t>Спицевскому</w:t>
      </w:r>
      <w:proofErr w:type="spellEnd"/>
      <w:r w:rsidRPr="00B70584">
        <w:rPr>
          <w:bCs/>
          <w:iCs/>
        </w:rPr>
        <w:t xml:space="preserve"> территориальному управлению на 2020 год утверждены бюджетные ассигнования в объеме 90 589,46 рублей, исполнение составило 54 539,46 рублей или 60,2%  от показателей сводной бюджетной росписи. Сумма неисполненных бюджетных</w:t>
      </w:r>
      <w:r>
        <w:rPr>
          <w:bCs/>
          <w:iCs/>
        </w:rPr>
        <w:t xml:space="preserve"> назначений составила 36 050,00 </w:t>
      </w:r>
      <w:r w:rsidRPr="00B70584">
        <w:rPr>
          <w:bCs/>
          <w:iCs/>
        </w:rPr>
        <w:t>рублей.</w:t>
      </w:r>
    </w:p>
    <w:p w:rsidR="00B70584" w:rsidRDefault="00B70584" w:rsidP="004B407A">
      <w:pPr>
        <w:widowControl w:val="0"/>
        <w:ind w:firstLine="709"/>
        <w:jc w:val="both"/>
        <w:rPr>
          <w:bCs/>
          <w:iCs/>
        </w:rPr>
      </w:pPr>
      <w:r w:rsidRPr="00B70584">
        <w:rPr>
          <w:bCs/>
          <w:iCs/>
        </w:rPr>
        <w:t>Общая сумма неисполненных бюджетных назначений за 2020 год составила                      36 050,00 рублей или 60,2%  по разделу 0100 «Общегосударственные вопросы» (план –               90 589,46 рублей, исполнено – 54 539,46 рублей).</w:t>
      </w:r>
    </w:p>
    <w:p w:rsidR="00B70584" w:rsidRDefault="00B70584" w:rsidP="004B407A">
      <w:pPr>
        <w:widowControl w:val="0"/>
        <w:ind w:firstLine="709"/>
        <w:jc w:val="both"/>
      </w:pPr>
      <w:r w:rsidRPr="00B70584">
        <w:t xml:space="preserve">В 2020 году </w:t>
      </w:r>
      <w:proofErr w:type="spellStart"/>
      <w:r w:rsidRPr="00B70584">
        <w:t>Спицевское</w:t>
      </w:r>
      <w:proofErr w:type="spellEnd"/>
      <w:r w:rsidRPr="00B70584">
        <w:t xml:space="preserve"> территориальное управление  не являл</w:t>
      </w:r>
      <w:r>
        <w:t>о</w:t>
      </w:r>
      <w:r w:rsidRPr="00B70584">
        <w:t>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 xml:space="preserve">тности проводилась на выборочной основе в </w:t>
      </w:r>
      <w:r w:rsidRPr="007771FB">
        <w:lastRenderedPageBreak/>
        <w:t>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proofErr w:type="spellStart"/>
      <w:r w:rsidR="00B70584">
        <w:t>Спицевского</w:t>
      </w:r>
      <w:proofErr w:type="spellEnd"/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</w:t>
      </w:r>
      <w:proofErr w:type="spellStart"/>
      <w:r>
        <w:t>Спицевским</w:t>
      </w:r>
      <w:proofErr w:type="spellEnd"/>
      <w:r>
        <w:t xml:space="preserve"> территориальным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 xml:space="preserve">4. Бюджетная отчетность </w:t>
      </w:r>
      <w:proofErr w:type="spellStart"/>
      <w:r>
        <w:t>Спицевского</w:t>
      </w:r>
      <w:proofErr w:type="spellEnd"/>
      <w:r>
        <w:t xml:space="preserve">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90 589,46 рублей, исполнено 54 539,46 рублей, или 60,2 процента. Не исполнено плановых назначений – 36 050,00 рублей. </w:t>
      </w:r>
    </w:p>
    <w:p w:rsidR="00B70584" w:rsidRDefault="00B70584" w:rsidP="00B70584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2 313 724,27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B70584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proofErr w:type="spellStart"/>
      <w:r w:rsidR="00B70584">
        <w:t>Спицевского</w:t>
      </w:r>
      <w:proofErr w:type="spellEnd"/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</w:t>
      </w:r>
      <w:r w:rsidR="00707D49" w:rsidRPr="004A5D56">
        <w:lastRenderedPageBreak/>
        <w:t>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B70584" w:rsidRDefault="00B70584" w:rsidP="00B7058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На основании проведенной внешней проверки годовой бюджетной отчетности </w:t>
      </w:r>
      <w:proofErr w:type="spellStart"/>
      <w:r>
        <w:t>Спицевского</w:t>
      </w:r>
      <w:proofErr w:type="spellEnd"/>
      <w:r>
        <w:t xml:space="preserve"> территориального управления за 2020 год Контрольно-счетная комиссия рекомендует:</w:t>
      </w:r>
    </w:p>
    <w:p w:rsidR="00B70584" w:rsidRDefault="00B70584" w:rsidP="00B70584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70584" w:rsidRDefault="00B70584" w:rsidP="00B70584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E82C71" w:rsidRDefault="00B70584" w:rsidP="00B7058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5D764B">
        <w:t>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B3FF9" w:rsidRPr="00D947C1" w:rsidRDefault="003B3FF9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3B3FF9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02" w:rsidRDefault="00FB5502" w:rsidP="000C573B">
      <w:r>
        <w:separator/>
      </w:r>
    </w:p>
  </w:endnote>
  <w:endnote w:type="continuationSeparator" w:id="0">
    <w:p w:rsidR="00FB5502" w:rsidRDefault="00FB5502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02" w:rsidRDefault="00FB5502" w:rsidP="000C573B">
      <w:r>
        <w:separator/>
      </w:r>
    </w:p>
  </w:footnote>
  <w:footnote w:type="continuationSeparator" w:id="0">
    <w:p w:rsidR="00FB5502" w:rsidRDefault="00FB5502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8F9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3DE9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14D61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578F9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D764B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4349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0584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0221A"/>
    <w:rsid w:val="00D1006D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B5502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34CA-A56D-4E02-9DD0-3C1C5246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32</cp:revision>
  <cp:lastPrinted>2020-05-07T11:42:00Z</cp:lastPrinted>
  <dcterms:created xsi:type="dcterms:W3CDTF">2019-12-20T06:07:00Z</dcterms:created>
  <dcterms:modified xsi:type="dcterms:W3CDTF">2022-01-11T07:34:00Z</dcterms:modified>
</cp:coreProperties>
</file>