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proofErr w:type="spellStart"/>
      <w:r w:rsidR="00E82C71" w:rsidRPr="00E82C71">
        <w:t>Бешпагирского</w:t>
      </w:r>
      <w:proofErr w:type="spellEnd"/>
      <w:r w:rsidR="00E82C71" w:rsidRPr="00E82C71">
        <w:t xml:space="preserve"> территориального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E82C71" w:rsidRPr="00E82C71">
        <w:rPr>
          <w:rFonts w:eastAsia="Calibri"/>
          <w:lang w:eastAsia="en-US"/>
        </w:rPr>
        <w:t xml:space="preserve">от 16 марта 2021 года № 24 «О проведении внешней проверки годовой бюджетной отчетности </w:t>
      </w:r>
      <w:proofErr w:type="spellStart"/>
      <w:r w:rsidR="00E82C71" w:rsidRPr="00E82C71">
        <w:rPr>
          <w:rFonts w:eastAsia="Calibri"/>
          <w:lang w:eastAsia="en-US"/>
        </w:rPr>
        <w:t>Бешпагирского</w:t>
      </w:r>
      <w:proofErr w:type="spellEnd"/>
      <w:r w:rsidR="00E82C71" w:rsidRPr="00E82C71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E82C71" w:rsidRPr="00E82C71">
        <w:t xml:space="preserve"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</w:t>
      </w:r>
      <w:proofErr w:type="spellStart"/>
      <w:r w:rsidR="00E82C71" w:rsidRPr="00E82C71">
        <w:t>Бешпагирское</w:t>
      </w:r>
      <w:proofErr w:type="spellEnd"/>
      <w:r w:rsidR="00E82C71" w:rsidRPr="00E82C71">
        <w:t xml:space="preserve"> территориальное управление администрации Грачевского муниципального округа Ставропольского края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5E0B8B" w:rsidRDefault="00AF44ED" w:rsidP="00E82C71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proofErr w:type="spellStart"/>
      <w:r w:rsidR="00E82C71" w:rsidRPr="00E82C71">
        <w:rPr>
          <w:rFonts w:eastAsia="Calibri"/>
          <w:lang w:eastAsia="en-US"/>
        </w:rPr>
        <w:t>Бешпагирское</w:t>
      </w:r>
      <w:proofErr w:type="spellEnd"/>
      <w:r w:rsidR="00E82C71" w:rsidRPr="00E82C71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</w:t>
      </w:r>
      <w:proofErr w:type="spellStart"/>
      <w:r w:rsidR="00E82C71" w:rsidRPr="00E82C71">
        <w:rPr>
          <w:rFonts w:eastAsia="Calibri"/>
          <w:lang w:eastAsia="en-US"/>
        </w:rPr>
        <w:t>Бешпагирское</w:t>
      </w:r>
      <w:proofErr w:type="spellEnd"/>
      <w:r w:rsidR="00E82C71" w:rsidRPr="00E82C71">
        <w:rPr>
          <w:rFonts w:eastAsia="Calibri"/>
          <w:lang w:eastAsia="en-US"/>
        </w:rPr>
        <w:t xml:space="preserve"> территориальное управление, ГАБС).</w:t>
      </w:r>
    </w:p>
    <w:p w:rsidR="00E82C71" w:rsidRPr="00D947C1" w:rsidRDefault="00E82C71" w:rsidP="00E82C71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E82C71" w:rsidRDefault="00E82C71" w:rsidP="00E82C71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E82C71" w:rsidRDefault="00E82C71" w:rsidP="00E82C71">
      <w:pPr>
        <w:widowControl w:val="0"/>
        <w:ind w:right="-1" w:firstLine="709"/>
        <w:jc w:val="both"/>
      </w:pPr>
      <w:r>
        <w:t xml:space="preserve"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E82C71" w:rsidRDefault="00E82C71" w:rsidP="00E82C71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E82C71" w:rsidP="00E82C71">
      <w:pPr>
        <w:widowControl w:val="0"/>
        <w:ind w:right="-1" w:firstLine="709"/>
        <w:jc w:val="both"/>
        <w:rPr>
          <w:b/>
        </w:rPr>
      </w:pPr>
      <w:r>
        <w:t xml:space="preserve">- полнота (раскрываемость) текстовой информации, заполненной в формах годовой </w:t>
      </w:r>
      <w:r>
        <w:lastRenderedPageBreak/>
        <w:t>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E82C71" w:rsidRDefault="00E82C71" w:rsidP="00E82C71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</w:t>
      </w:r>
      <w:proofErr w:type="spellStart"/>
      <w:r>
        <w:t>Бешпагирского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№49 учреждено (создано) </w:t>
      </w:r>
      <w:proofErr w:type="spellStart"/>
      <w:r>
        <w:t>Бешпагирское</w:t>
      </w:r>
      <w:proofErr w:type="spellEnd"/>
      <w:r>
        <w:t xml:space="preserve"> территориальное управление администрации Грачевского муниципального округа Ставропольского края.</w:t>
      </w:r>
    </w:p>
    <w:p w:rsidR="00E82C71" w:rsidRDefault="00E82C71" w:rsidP="00E82C71">
      <w:pPr>
        <w:widowControl w:val="0"/>
        <w:ind w:firstLine="709"/>
        <w:jc w:val="both"/>
      </w:pPr>
      <w:r>
        <w:t xml:space="preserve">Решение Совета Грачевского муниципального округа Ставропольского края «Об учреждении (создании) </w:t>
      </w:r>
      <w:proofErr w:type="spellStart"/>
      <w:r>
        <w:t>Бешпагирского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№49 вступило в силу 9 декабря 2020 года.</w:t>
      </w:r>
    </w:p>
    <w:p w:rsidR="00E82C71" w:rsidRDefault="00E82C71" w:rsidP="00E82C71">
      <w:pPr>
        <w:widowControl w:val="0"/>
        <w:ind w:firstLine="709"/>
        <w:jc w:val="both"/>
      </w:pPr>
      <w:proofErr w:type="gramStart"/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proofErr w:type="gram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E82C71" w:rsidRDefault="00E82C71" w:rsidP="00E82C71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</w:t>
      </w:r>
      <w:proofErr w:type="gramStart"/>
      <w:r>
        <w:t>от</w:t>
      </w:r>
      <w:proofErr w:type="gramEnd"/>
      <w:r>
        <w:t xml:space="preserve"> 02.10.2020 № 11.</w:t>
      </w:r>
    </w:p>
    <w:p w:rsidR="00E82C71" w:rsidRDefault="00E82C71" w:rsidP="00E82C71">
      <w:pPr>
        <w:widowControl w:val="0"/>
        <w:ind w:firstLine="709"/>
        <w:jc w:val="both"/>
      </w:pPr>
      <w:r w:rsidRPr="00E82C71">
        <w:t xml:space="preserve"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</w:t>
      </w:r>
      <w:proofErr w:type="spellStart"/>
      <w:r w:rsidRPr="00E82C71">
        <w:t>Бешпагирское</w:t>
      </w:r>
      <w:proofErr w:type="spellEnd"/>
      <w:r w:rsidRPr="00E82C71">
        <w:t xml:space="preserve"> территориальное управление осуществляет функции и полномочия учредителя в отношении одного казенного учреждения: муниципальное казенное учреждение культуры «</w:t>
      </w:r>
      <w:proofErr w:type="spellStart"/>
      <w:r w:rsidRPr="00E82C71">
        <w:t>Бешпагирский</w:t>
      </w:r>
      <w:proofErr w:type="spellEnd"/>
      <w:r w:rsidRPr="00E82C71">
        <w:t xml:space="preserve"> Дом культуры» Грачевского муниципального округа Ставропольского кра</w:t>
      </w:r>
      <w:r>
        <w:t>я.</w:t>
      </w:r>
    </w:p>
    <w:p w:rsidR="00E82C71" w:rsidRDefault="00E82C71" w:rsidP="00E82C71">
      <w:pPr>
        <w:widowControl w:val="0"/>
        <w:ind w:firstLine="709"/>
        <w:jc w:val="both"/>
      </w:pPr>
      <w:proofErr w:type="gramStart"/>
      <w:r w:rsidRPr="00E82C71">
        <w:t xml:space="preserve">Согласно ст. 1 Положения о </w:t>
      </w:r>
      <w:proofErr w:type="spellStart"/>
      <w:r w:rsidRPr="00E82C71">
        <w:t>Бешпагирском</w:t>
      </w:r>
      <w:proofErr w:type="spellEnd"/>
      <w:r w:rsidRPr="00E82C71">
        <w:t xml:space="preserve"> территориальном управлении администрации Грачевского муниципального  округа Ставропольского края, утвержденного решением Совета Грачевского муниципального округа Ставропольского края от 07 декабря 2020 года № 50, </w:t>
      </w:r>
      <w:proofErr w:type="spellStart"/>
      <w:r w:rsidRPr="00E82C71">
        <w:t>Бешпагирское</w:t>
      </w:r>
      <w:proofErr w:type="spellEnd"/>
      <w:r w:rsidRPr="00E82C71">
        <w:t xml:space="preserve"> территориальное управление является территориальным органом администрации Грачевского муниципального округа Ставропольского края, входит </w:t>
      </w:r>
      <w:r w:rsidRPr="00E82C71">
        <w:lastRenderedPageBreak/>
        <w:t>в структуру администрации и выполняет управленческие функции на подведомственной территории в соответствии с предоставленными ему полномочиями</w:t>
      </w:r>
      <w:r>
        <w:t>.</w:t>
      </w:r>
      <w:proofErr w:type="gramEnd"/>
    </w:p>
    <w:p w:rsidR="00E82C71" w:rsidRDefault="00E82C71" w:rsidP="00E82C71">
      <w:pPr>
        <w:widowControl w:val="0"/>
        <w:ind w:firstLine="709"/>
        <w:jc w:val="both"/>
      </w:pPr>
      <w:r>
        <w:t xml:space="preserve">Финансирование </w:t>
      </w:r>
      <w:proofErr w:type="spellStart"/>
      <w:r>
        <w:t>Бешпагирского</w:t>
      </w:r>
      <w:proofErr w:type="spellEnd"/>
      <w:r>
        <w:t xml:space="preserve"> территориального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E82C71" w:rsidRDefault="00E82C71" w:rsidP="00E82C71">
      <w:pPr>
        <w:widowControl w:val="0"/>
        <w:ind w:firstLine="709"/>
        <w:jc w:val="both"/>
      </w:pPr>
      <w:proofErr w:type="spellStart"/>
      <w:r>
        <w:t>Бешпагирское</w:t>
      </w:r>
      <w:proofErr w:type="spellEnd"/>
      <w:r>
        <w:t xml:space="preserve"> территориальное управление  является юридическим лицом. </w:t>
      </w:r>
      <w:proofErr w:type="spellStart"/>
      <w:r>
        <w:t>Бешпагирскому</w:t>
      </w:r>
      <w:proofErr w:type="spellEnd"/>
      <w:r>
        <w:t xml:space="preserve"> территориальному управлению  присвоены следующие коды и номера учета в органах федеральной налоговой службы и органах государственной статистики: ИНН 2606009319, КПП 260601001, ОГРН 1202600016332, ОКПО 46686907,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E82C71" w:rsidRDefault="00E82C71" w:rsidP="00E82C71">
      <w:pPr>
        <w:widowControl w:val="0"/>
        <w:ind w:firstLine="709"/>
        <w:jc w:val="both"/>
      </w:pPr>
      <w:r w:rsidRPr="00E82C71">
        <w:t xml:space="preserve">По состоянию на 01.01.2021 в ведении </w:t>
      </w:r>
      <w:proofErr w:type="spellStart"/>
      <w:r w:rsidRPr="00E82C71">
        <w:t>Бешпагирского</w:t>
      </w:r>
      <w:proofErr w:type="spellEnd"/>
      <w:r w:rsidRPr="00E82C71">
        <w:t xml:space="preserve"> территориального управления находилось 1 подведомственное казенное учреждение: муниципальное казенное учреждение культуры «</w:t>
      </w:r>
      <w:proofErr w:type="spellStart"/>
      <w:r w:rsidRPr="00E82C71">
        <w:t>Бешпагирский</w:t>
      </w:r>
      <w:proofErr w:type="spellEnd"/>
      <w:r w:rsidRPr="00E82C71">
        <w:t xml:space="preserve"> Дом культуры» Грачевского муниципального округа Ставропольского края.</w:t>
      </w:r>
    </w:p>
    <w:p w:rsidR="00E82C71" w:rsidRDefault="00E82C71" w:rsidP="00E82C71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E82C71" w:rsidRPr="00E82C71" w:rsidRDefault="00E82C71" w:rsidP="00E82C71">
      <w:pPr>
        <w:widowControl w:val="0"/>
        <w:ind w:right="-1" w:firstLine="709"/>
        <w:jc w:val="both"/>
        <w:rPr>
          <w:bCs/>
          <w:iCs/>
        </w:rPr>
      </w:pPr>
      <w:r w:rsidRPr="00E82C71">
        <w:rPr>
          <w:bCs/>
          <w:iCs/>
        </w:rPr>
        <w:t xml:space="preserve">Сводная (консолидированная) бюджетная отчетность за 2020 год составлена </w:t>
      </w:r>
      <w:proofErr w:type="spellStart"/>
      <w:r w:rsidRPr="00E82C71">
        <w:rPr>
          <w:bCs/>
          <w:iCs/>
        </w:rPr>
        <w:t>Бешпагирским</w:t>
      </w:r>
      <w:proofErr w:type="spellEnd"/>
      <w:r w:rsidRPr="00E82C71">
        <w:rPr>
          <w:bCs/>
          <w:iCs/>
        </w:rPr>
        <w:t xml:space="preserve"> территориальным управлением, как главным администратором (распорядителем) средств бюджета Грачевского муниципального района.</w:t>
      </w:r>
    </w:p>
    <w:p w:rsidR="00C54B81" w:rsidRDefault="00E82C71" w:rsidP="00E82C71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E82C71">
        <w:rPr>
          <w:bCs/>
          <w:iCs/>
        </w:rPr>
        <w:t xml:space="preserve">Годовая бюджетная отчетность </w:t>
      </w:r>
      <w:proofErr w:type="spellStart"/>
      <w:r w:rsidRPr="00E82C71">
        <w:rPr>
          <w:bCs/>
          <w:iCs/>
        </w:rPr>
        <w:t>Бешпагирского</w:t>
      </w:r>
      <w:proofErr w:type="spellEnd"/>
      <w:r w:rsidRPr="00E82C71">
        <w:rPr>
          <w:bCs/>
          <w:iCs/>
        </w:rPr>
        <w:t xml:space="preserve"> терр</w:t>
      </w:r>
      <w:r>
        <w:rPr>
          <w:bCs/>
          <w:iCs/>
        </w:rPr>
        <w:t>иториального управления за 2020 </w:t>
      </w:r>
      <w:r w:rsidRPr="00E82C71">
        <w:rPr>
          <w:bCs/>
          <w:iCs/>
        </w:rPr>
        <w:t xml:space="preserve">год представлена в Контрольно-счетную комиссию Грачевского муниципального округа Ставропольского края 15 марта 2021 года, что соответствует сроку, установленному п. 58.3 Положения о бюджетном процессе в </w:t>
      </w:r>
      <w:proofErr w:type="spellStart"/>
      <w:r w:rsidRPr="00E82C71">
        <w:rPr>
          <w:bCs/>
          <w:iCs/>
        </w:rPr>
        <w:t>Грачевском</w:t>
      </w:r>
      <w:proofErr w:type="spellEnd"/>
      <w:r w:rsidRPr="00E82C71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r w:rsidR="00C54B81">
        <w:rPr>
          <w:b/>
          <w:bCs/>
          <w:iCs/>
        </w:rPr>
        <w:t xml:space="preserve"> </w:t>
      </w:r>
      <w:proofErr w:type="gramEnd"/>
    </w:p>
    <w:p w:rsidR="00E82C71" w:rsidRPr="00E82C71" w:rsidRDefault="00E82C71" w:rsidP="00E82C71">
      <w:pPr>
        <w:widowControl w:val="0"/>
        <w:ind w:right="-1" w:firstLine="709"/>
        <w:jc w:val="both"/>
        <w:rPr>
          <w:bCs/>
          <w:iCs/>
        </w:rPr>
      </w:pPr>
      <w:proofErr w:type="gramStart"/>
      <w:r w:rsidRPr="00E82C71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E82C71">
        <w:rPr>
          <w:bCs/>
          <w:iCs/>
        </w:rPr>
        <w:t xml:space="preserve">годов» (в редакции от 25.09.2020 № 85) (далее по тексту – Решение о местном бюджете на 2020 год (в редакции от 25.09.2020 № 85)) </w:t>
      </w:r>
      <w:proofErr w:type="spellStart"/>
      <w:r w:rsidRPr="00E82C71">
        <w:rPr>
          <w:bCs/>
          <w:iCs/>
        </w:rPr>
        <w:t>Бешпагирское</w:t>
      </w:r>
      <w:proofErr w:type="spellEnd"/>
      <w:r w:rsidRPr="00E82C71">
        <w:rPr>
          <w:bCs/>
          <w:iCs/>
        </w:rPr>
        <w:t xml:space="preserve"> территориальное управление  наделено полномочиями главного распорядителя</w:t>
      </w:r>
      <w:proofErr w:type="gramEnd"/>
      <w:r w:rsidRPr="00E82C71">
        <w:rPr>
          <w:bCs/>
          <w:iCs/>
        </w:rPr>
        <w:t xml:space="preserve"> бюджетных средств, получателя бюджетных средств (код ГАБС - 770).</w:t>
      </w:r>
    </w:p>
    <w:p w:rsidR="00E82C71" w:rsidRPr="00E82C71" w:rsidRDefault="00E82C71" w:rsidP="00E82C71">
      <w:pPr>
        <w:widowControl w:val="0"/>
        <w:ind w:right="-1" w:firstLine="709"/>
        <w:jc w:val="both"/>
        <w:rPr>
          <w:bCs/>
          <w:iCs/>
        </w:rPr>
      </w:pPr>
      <w:r w:rsidRPr="00E82C71">
        <w:rPr>
          <w:bCs/>
          <w:iCs/>
        </w:rPr>
        <w:t xml:space="preserve"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</w:t>
      </w:r>
      <w:proofErr w:type="spellStart"/>
      <w:r w:rsidRPr="00E82C71">
        <w:rPr>
          <w:bCs/>
          <w:iCs/>
        </w:rPr>
        <w:t>Бешпагирское</w:t>
      </w:r>
      <w:proofErr w:type="spellEnd"/>
      <w:r w:rsidRPr="00E82C71">
        <w:rPr>
          <w:bCs/>
          <w:iCs/>
        </w:rPr>
        <w:t xml:space="preserve"> территориальное управление  не является главным администратором (администратором) доходов, поступающих в бюджет Грачевского муниципального района.</w:t>
      </w:r>
    </w:p>
    <w:p w:rsidR="00E82C71" w:rsidRPr="00E82C71" w:rsidRDefault="00E82C71" w:rsidP="00E82C71">
      <w:pPr>
        <w:widowControl w:val="0"/>
        <w:ind w:right="-1" w:firstLine="709"/>
        <w:jc w:val="both"/>
        <w:rPr>
          <w:bCs/>
          <w:iCs/>
        </w:rPr>
      </w:pPr>
      <w:r w:rsidRPr="00E82C71">
        <w:rPr>
          <w:bCs/>
          <w:iCs/>
        </w:rPr>
        <w:t>Решением Совета Грачевского муниципального района</w:t>
      </w:r>
      <w:r>
        <w:rPr>
          <w:bCs/>
          <w:iCs/>
        </w:rPr>
        <w:t xml:space="preserve"> Ставропольского края от 17 </w:t>
      </w:r>
      <w:r w:rsidRPr="00E82C71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</w:t>
      </w:r>
      <w:proofErr w:type="spellStart"/>
      <w:r w:rsidRPr="00E82C71">
        <w:rPr>
          <w:bCs/>
          <w:iCs/>
        </w:rPr>
        <w:t>Бешпагирскому</w:t>
      </w:r>
      <w:proofErr w:type="spellEnd"/>
      <w:r w:rsidRPr="00E82C71">
        <w:rPr>
          <w:bCs/>
          <w:iCs/>
        </w:rPr>
        <w:t xml:space="preserve"> территориальному управлению, утверждены бюджетные назначения по расходам в объеме 100,00 рублей. </w:t>
      </w:r>
    </w:p>
    <w:p w:rsidR="00E82C71" w:rsidRDefault="00E82C71" w:rsidP="00E82C71">
      <w:pPr>
        <w:widowControl w:val="0"/>
        <w:ind w:right="-1" w:firstLine="709"/>
        <w:jc w:val="both"/>
        <w:rPr>
          <w:bCs/>
          <w:iCs/>
        </w:rPr>
      </w:pPr>
      <w:proofErr w:type="gramStart"/>
      <w:r w:rsidRPr="00E82C71">
        <w:rPr>
          <w:bCs/>
          <w:iCs/>
        </w:rPr>
        <w:t xml:space="preserve">По состоянию на 31 декабря 2020 года расходы </w:t>
      </w:r>
      <w:proofErr w:type="spellStart"/>
      <w:r w:rsidRPr="00E82C71">
        <w:rPr>
          <w:bCs/>
          <w:iCs/>
        </w:rPr>
        <w:t>Бешпагирского</w:t>
      </w:r>
      <w:proofErr w:type="spellEnd"/>
      <w:r w:rsidRPr="00E82C71">
        <w:rPr>
          <w:bCs/>
          <w:iCs/>
        </w:rPr>
        <w:t xml:space="preserve"> территориального управления, утвержденные уточненной сводной бюджетной росписью бюджета Грачевского муниципального района на 2020 год (далее – сводная б</w:t>
      </w:r>
      <w:r>
        <w:rPr>
          <w:bCs/>
          <w:iCs/>
        </w:rPr>
        <w:t>юджетная роспись), на 99 286,28 </w:t>
      </w:r>
      <w:r w:rsidRPr="00E82C71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99 386,28 рублей.</w:t>
      </w:r>
      <w:proofErr w:type="gramEnd"/>
    </w:p>
    <w:p w:rsidR="00E82C71" w:rsidRDefault="00E82C71" w:rsidP="004B407A">
      <w:pPr>
        <w:widowControl w:val="0"/>
        <w:ind w:right="-1" w:firstLine="709"/>
        <w:jc w:val="both"/>
        <w:rPr>
          <w:bCs/>
          <w:iCs/>
        </w:rPr>
      </w:pPr>
      <w:r w:rsidRPr="00E82C71">
        <w:rPr>
          <w:bCs/>
          <w:iCs/>
        </w:rPr>
        <w:t xml:space="preserve">Согласно Отчету об исполнении бюджета (форма 0503127) </w:t>
      </w:r>
      <w:proofErr w:type="spellStart"/>
      <w:r w:rsidRPr="00E82C71">
        <w:rPr>
          <w:bCs/>
          <w:iCs/>
        </w:rPr>
        <w:t>Бешпагирскому</w:t>
      </w:r>
      <w:proofErr w:type="spellEnd"/>
      <w:r w:rsidRPr="00E82C71">
        <w:rPr>
          <w:bCs/>
          <w:iCs/>
        </w:rPr>
        <w:t xml:space="preserve"> территориальному управлению на 2020 год утверждены бюджетные ассигнования в объеме 99 386,28 рублей, исполнение составило 53 615,06 рублей или 53,9%  от показателей сводной </w:t>
      </w:r>
      <w:r w:rsidRPr="00E82C71">
        <w:rPr>
          <w:bCs/>
          <w:iCs/>
        </w:rPr>
        <w:lastRenderedPageBreak/>
        <w:t>бюджетной росписи. Сумма неисполненных бюджетных</w:t>
      </w:r>
      <w:r>
        <w:rPr>
          <w:bCs/>
          <w:iCs/>
        </w:rPr>
        <w:t xml:space="preserve"> назначений составила 45 771,22 </w:t>
      </w:r>
      <w:r w:rsidRPr="00E82C71">
        <w:rPr>
          <w:bCs/>
          <w:iCs/>
        </w:rPr>
        <w:t>рублей.</w:t>
      </w:r>
    </w:p>
    <w:p w:rsidR="00E82C71" w:rsidRDefault="00E82C71" w:rsidP="004B407A">
      <w:pPr>
        <w:widowControl w:val="0"/>
        <w:ind w:firstLine="709"/>
        <w:jc w:val="both"/>
        <w:rPr>
          <w:bCs/>
          <w:iCs/>
        </w:rPr>
      </w:pPr>
      <w:r w:rsidRPr="00E82C71">
        <w:rPr>
          <w:bCs/>
          <w:iCs/>
        </w:rPr>
        <w:t>Общая сумма неисполненных бюджетных назначений за 2020 год составила                      45 771,22 рублей или 46,1%  по разделу 0100 «Общегосударственные вопросы» (план –               99 386,28 рублей, исполнено – 53 615,06 рублей).</w:t>
      </w:r>
    </w:p>
    <w:p w:rsidR="00E82C71" w:rsidRDefault="00E82C71" w:rsidP="004B407A">
      <w:pPr>
        <w:widowControl w:val="0"/>
        <w:ind w:firstLine="709"/>
        <w:jc w:val="both"/>
      </w:pPr>
      <w:r w:rsidRPr="00E82C71">
        <w:t xml:space="preserve">В 2020 году </w:t>
      </w:r>
      <w:proofErr w:type="spellStart"/>
      <w:r w:rsidRPr="00E82C71">
        <w:t>Бешпагирское</w:t>
      </w:r>
      <w:proofErr w:type="spellEnd"/>
      <w:r w:rsidRPr="00E82C71">
        <w:t xml:space="preserve"> территориальное управление не являлась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proofErr w:type="spellStart"/>
      <w:r w:rsidR="00E82C71">
        <w:t>Бешпагирского</w:t>
      </w:r>
      <w:proofErr w:type="spellEnd"/>
      <w:r w:rsidR="00E82C71">
        <w:t xml:space="preserve"> территориального</w:t>
      </w:r>
      <w:r w:rsidR="00E82C71" w:rsidRPr="00E82C71">
        <w:t xml:space="preserve"> управлени</w:t>
      </w:r>
      <w:r w:rsidR="00E82C71">
        <w:t>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E82C71" w:rsidRDefault="00E82C71" w:rsidP="00E82C71">
      <w:pPr>
        <w:widowControl w:val="0"/>
        <w:suppressAutoHyphens/>
        <w:ind w:firstLine="709"/>
        <w:jc w:val="both"/>
      </w:pPr>
      <w:r>
        <w:t xml:space="preserve">1. Годовая бюджетная отчетность об исполнении бюджета за 2020 год представлена </w:t>
      </w:r>
      <w:proofErr w:type="spellStart"/>
      <w:r>
        <w:t>Бешпагирским</w:t>
      </w:r>
      <w:proofErr w:type="spellEnd"/>
      <w:r>
        <w:t xml:space="preserve"> территориальным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E82C71" w:rsidRDefault="00E82C71" w:rsidP="00E82C71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E82C71" w:rsidRDefault="00E82C71" w:rsidP="00E82C71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E82C71" w:rsidRDefault="00E82C71" w:rsidP="00E82C71">
      <w:pPr>
        <w:widowControl w:val="0"/>
        <w:suppressAutoHyphens/>
        <w:ind w:firstLine="709"/>
        <w:jc w:val="both"/>
      </w:pPr>
      <w:r>
        <w:t xml:space="preserve">4. Бюджетная отчетность </w:t>
      </w:r>
      <w:proofErr w:type="spellStart"/>
      <w:r>
        <w:t>Бешпагирского</w:t>
      </w:r>
      <w:proofErr w:type="spellEnd"/>
      <w:r>
        <w:t xml:space="preserve"> территориального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E82C71" w:rsidRDefault="00E82C71" w:rsidP="00E82C71">
      <w:pPr>
        <w:widowControl w:val="0"/>
        <w:suppressAutoHyphens/>
        <w:ind w:firstLine="709"/>
        <w:jc w:val="both"/>
      </w:pPr>
      <w:r>
        <w:t xml:space="preserve"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</w:t>
      </w:r>
      <w:r>
        <w:lastRenderedPageBreak/>
        <w:t>отдельных положений Инструкции №191н в части формирования Пояснительной записки (ф. 0503160).</w:t>
      </w:r>
    </w:p>
    <w:p w:rsidR="00E82C71" w:rsidRDefault="00E82C71" w:rsidP="00E82C71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99 386,28 рублей, исполнено 53 615,06 рублей, или 53,9 процента. Не исполнено плановых назначений – 45 771,22 рублей. </w:t>
      </w:r>
    </w:p>
    <w:p w:rsidR="00E82C71" w:rsidRDefault="00E82C71" w:rsidP="00E82C71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649 226,67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9264A0" w:rsidP="00E82C71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proofErr w:type="spellStart"/>
      <w:r w:rsidR="00E82C71">
        <w:t>Бешпагирского</w:t>
      </w:r>
      <w:proofErr w:type="spellEnd"/>
      <w:r w:rsidR="00E82C71" w:rsidRPr="00E82C71">
        <w:t xml:space="preserve"> территориальн</w:t>
      </w:r>
      <w:r w:rsidR="00E82C71">
        <w:t>ого</w:t>
      </w:r>
      <w:r w:rsidR="00E82C71" w:rsidRPr="00E82C71">
        <w:t xml:space="preserve"> управлени</w:t>
      </w:r>
      <w:r w:rsidR="00E82C71">
        <w:t>я</w:t>
      </w:r>
      <w:r w:rsidR="00E82C71" w:rsidRPr="00E82C71">
        <w:t xml:space="preserve"> </w:t>
      </w:r>
      <w:r w:rsidR="004B407A">
        <w:t>за 2020</w:t>
      </w:r>
      <w:r w:rsidR="00707D49" w:rsidRPr="004A5D56">
        <w:t xml:space="preserve">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E82C71" w:rsidRDefault="00E82C71" w:rsidP="00E82C7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 основании проведенной внешней проверки годовой бюджетной отчетности </w:t>
      </w:r>
      <w:proofErr w:type="spellStart"/>
      <w:r>
        <w:t>Бешпагирского</w:t>
      </w:r>
      <w:proofErr w:type="spellEnd"/>
      <w:r>
        <w:t xml:space="preserve"> территориального управления за 2020 год Контрольно-счетная комиссия рекомендует:</w:t>
      </w:r>
    </w:p>
    <w:p w:rsidR="00E82C71" w:rsidRDefault="00E82C71" w:rsidP="00E82C71">
      <w:pPr>
        <w:widowControl w:val="0"/>
        <w:autoSpaceDE w:val="0"/>
        <w:autoSpaceDN w:val="0"/>
        <w:adjustRightInd w:val="0"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E82C71" w:rsidRDefault="00E82C71" w:rsidP="00E82C71">
      <w:pPr>
        <w:widowControl w:val="0"/>
        <w:autoSpaceDE w:val="0"/>
        <w:autoSpaceDN w:val="0"/>
        <w:adjustRightInd w:val="0"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C67C08" w:rsidRPr="00D947C1" w:rsidRDefault="00E82C71" w:rsidP="00E82C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92526B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24" w:rsidRDefault="00DF1724" w:rsidP="000C573B">
      <w:r>
        <w:separator/>
      </w:r>
    </w:p>
  </w:endnote>
  <w:endnote w:type="continuationSeparator" w:id="0">
    <w:p w:rsidR="00DF1724" w:rsidRDefault="00DF1724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24" w:rsidRDefault="00DF1724" w:rsidP="000C573B">
      <w:r>
        <w:separator/>
      </w:r>
    </w:p>
  </w:footnote>
  <w:footnote w:type="continuationSeparator" w:id="0">
    <w:p w:rsidR="00DF1724" w:rsidRDefault="00DF1724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A9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265A9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27D9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172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2C71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F55B-51D3-451C-904D-5A1D7E17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28</cp:revision>
  <cp:lastPrinted>2020-05-07T11:42:00Z</cp:lastPrinted>
  <dcterms:created xsi:type="dcterms:W3CDTF">2019-12-20T06:07:00Z</dcterms:created>
  <dcterms:modified xsi:type="dcterms:W3CDTF">2022-01-11T07:37:00Z</dcterms:modified>
</cp:coreProperties>
</file>