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B60838" w:rsidRPr="00B60838">
        <w:t>Совета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B60838" w:rsidRPr="00B60838">
        <w:rPr>
          <w:rFonts w:eastAsia="Calibri"/>
          <w:lang w:eastAsia="en-US"/>
        </w:rPr>
        <w:t>от 16 марта 2021 года № 15 «О проведении внешней проверки годовой бюджетной отчетности Совета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11C75" w:rsidRDefault="00AF44ED" w:rsidP="00B60838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B60838" w:rsidRPr="00B60838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Совета Грачевского муниципального округа Ставропольского края.</w:t>
      </w:r>
    </w:p>
    <w:p w:rsidR="00B60838" w:rsidRDefault="00B60838" w:rsidP="00B60838">
      <w:pPr>
        <w:widowControl w:val="0"/>
        <w:ind w:firstLine="709"/>
        <w:jc w:val="both"/>
        <w:rPr>
          <w:b/>
        </w:rPr>
      </w:pPr>
    </w:p>
    <w:p w:rsidR="005E0B8B" w:rsidRDefault="00AF44ED" w:rsidP="00B60838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B60838" w:rsidRPr="00B60838">
        <w:rPr>
          <w:rFonts w:eastAsia="Calibri"/>
          <w:lang w:eastAsia="en-US"/>
        </w:rPr>
        <w:t>Совет 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Совет Грачевского муниципального округа, ГАБС).</w:t>
      </w:r>
    </w:p>
    <w:p w:rsidR="00B60838" w:rsidRPr="00D947C1" w:rsidRDefault="00B60838" w:rsidP="00B60838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B60838" w:rsidRDefault="00B60838" w:rsidP="00B60838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B60838" w:rsidRDefault="00B60838" w:rsidP="00B60838">
      <w:pPr>
        <w:widowControl w:val="0"/>
        <w:ind w:right="-1" w:firstLine="709"/>
        <w:jc w:val="both"/>
      </w:pPr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</w:t>
      </w:r>
    </w:p>
    <w:p w:rsidR="00B60838" w:rsidRDefault="00B60838" w:rsidP="00B60838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B60838" w:rsidP="00B60838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B60838" w:rsidRDefault="00B60838" w:rsidP="00B60838">
      <w:pPr>
        <w:widowControl w:val="0"/>
        <w:ind w:firstLine="709"/>
        <w:jc w:val="both"/>
      </w:pPr>
      <w:proofErr w:type="gramStart"/>
      <w:r>
        <w:lastRenderedPageBreak/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 решением Совета Грачевского муниципального округа Ставропольского края «О структуре органов местного самоуправления Грачевского муниципального округа Ставропольского края</w:t>
      </w:r>
      <w:proofErr w:type="gramEnd"/>
      <w:r>
        <w:t>» от 2 октября 2020г. №2 утверждена структура органов местного самоуправления Грачевского муниципального округа Ставропольского края, согласно которой представительным органом муниципального образования определен Совет Грачевского муниципального округа Ставропольского края.</w:t>
      </w:r>
    </w:p>
    <w:p w:rsidR="00B60838" w:rsidRDefault="00B60838" w:rsidP="00B60838">
      <w:pPr>
        <w:widowControl w:val="0"/>
        <w:ind w:firstLine="709"/>
        <w:jc w:val="both"/>
      </w:pPr>
      <w:proofErr w:type="gramStart"/>
      <w:r>
        <w:t>Согласно п.7.1.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Совет Грачевского муниципального округа определен правопреемником в отношении действующих договорных и иных обязательств по вопросам межмуниципального сотрудничества, а также лицензионных договоров, предусматривающих права использования</w:t>
      </w:r>
      <w:proofErr w:type="gramEnd"/>
      <w:r>
        <w:t xml:space="preserve"> соответствующих результатов интеллектуальной деятельности или средства индивидуализации, заключенных Советом муниципального округа.</w:t>
      </w:r>
    </w:p>
    <w:p w:rsidR="00B60838" w:rsidRDefault="00B60838" w:rsidP="00B60838">
      <w:pPr>
        <w:widowControl w:val="0"/>
        <w:ind w:firstLine="709"/>
        <w:jc w:val="both"/>
      </w:pPr>
      <w:proofErr w:type="gramStart"/>
      <w:r>
        <w:t xml:space="preserve">Согласно п. 10.1 Решения Совета ГМО от 02.10.2020 № Совет Грачевского муниципального округа осуществляет права (функции) и полномочия учредителя в отношении организаций, учрежденных представительными органами местного самоуправления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в отношении учреждений, обеспечивающих реализацию предусмотренных законодательством Российской Федерации полномочий органов местного самоуправления в сферах науки</w:t>
      </w:r>
      <w:proofErr w:type="gramEnd"/>
      <w:r>
        <w:t>, образования, культуры, социальной защиты, физической культуры и спорта, а также в иных сферах и указанных в положениях (учредительных документах) соответствующих отраслевых (функциональных) и территориальных органов администрации муниципального округа.</w:t>
      </w:r>
    </w:p>
    <w:p w:rsidR="00B60838" w:rsidRDefault="00B60838" w:rsidP="00B60838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B60838" w:rsidRDefault="00B60838" w:rsidP="00B60838">
      <w:pPr>
        <w:widowControl w:val="0"/>
        <w:ind w:firstLine="709"/>
        <w:jc w:val="both"/>
      </w:pPr>
      <w:r>
        <w:t>Совет Грачевского муниципального округа Ставропольского края является законодательным (представительным) органом местного самоуправления Грачевского муниципального округа Ставропольского края, который создан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B60838" w:rsidRDefault="00B60838" w:rsidP="00B60838">
      <w:pPr>
        <w:widowControl w:val="0"/>
        <w:ind w:firstLine="709"/>
        <w:jc w:val="both"/>
      </w:pPr>
      <w:r>
        <w:t>Финансирование Совета Грачевского муниципального округа в отчетном периоде осуществлялось за счет средств, предусмотренных в бюджете Грачевского муниципального района Ставропольского края.</w:t>
      </w:r>
    </w:p>
    <w:p w:rsidR="009264A0" w:rsidRDefault="00B60838" w:rsidP="00B60838">
      <w:pPr>
        <w:widowControl w:val="0"/>
        <w:ind w:firstLine="709"/>
        <w:jc w:val="both"/>
      </w:pPr>
      <w:r>
        <w:t xml:space="preserve">Совет Грачевского муниципального округа является юридическим лицом. Совету Грачевского муниципального округа присвоены следующие коды и номера учета в органах федеральной налоговой службы и органах государственной статистики: ИНН 2606009277, КПП 260601001, ОГРН 1202600012383, ОКВЭД 84.11.3 основной вид деятельности – </w:t>
      </w:r>
      <w:r>
        <w:lastRenderedPageBreak/>
        <w:t>деятельность органов местного самоуправления по управлению вопросами общего характера.</w:t>
      </w:r>
    </w:p>
    <w:p w:rsidR="00B60838" w:rsidRDefault="00B60838" w:rsidP="00B60838">
      <w:pPr>
        <w:widowControl w:val="0"/>
        <w:ind w:firstLine="709"/>
        <w:jc w:val="both"/>
      </w:pPr>
      <w:r>
        <w:t>Совет Грачевского муниципального округа подведомственных подразделений и филиалов не имеет.</w:t>
      </w:r>
    </w:p>
    <w:p w:rsidR="00B60838" w:rsidRDefault="00B60838" w:rsidP="00B60838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округа Ставропольского края (далее – МКУ МЦБ ГМР).</w:t>
      </w:r>
    </w:p>
    <w:p w:rsidR="00B60838" w:rsidRDefault="00B60838" w:rsidP="00B60838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B60838" w:rsidRDefault="00B60838" w:rsidP="009264A0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B60838">
        <w:rPr>
          <w:bCs/>
          <w:iCs/>
        </w:rPr>
        <w:t>Годовая бюджетная отчетность Совета Грачевског</w:t>
      </w:r>
      <w:r>
        <w:rPr>
          <w:bCs/>
          <w:iCs/>
        </w:rPr>
        <w:t>о муниципального округа за 2020 </w:t>
      </w:r>
      <w:r w:rsidRPr="00B60838">
        <w:rPr>
          <w:bCs/>
          <w:iCs/>
        </w:rPr>
        <w:t xml:space="preserve">год представлена в Контрольно-счетную комиссию Грачевского муниципального округа Ставропольского края  15 марта 2021 года, что соответствует сроку, установленному п. 58.3 Положения о бюджетном процессе в </w:t>
      </w:r>
      <w:proofErr w:type="spellStart"/>
      <w:r w:rsidRPr="00B60838">
        <w:rPr>
          <w:bCs/>
          <w:iCs/>
        </w:rPr>
        <w:t>Грачевском</w:t>
      </w:r>
      <w:proofErr w:type="spellEnd"/>
      <w:r w:rsidRPr="00B60838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B60838" w:rsidRPr="00B60838" w:rsidRDefault="00B60838" w:rsidP="00B60838">
      <w:pPr>
        <w:widowControl w:val="0"/>
        <w:ind w:right="-1" w:firstLine="709"/>
        <w:jc w:val="both"/>
        <w:rPr>
          <w:bCs/>
          <w:iCs/>
        </w:rPr>
      </w:pPr>
      <w:proofErr w:type="gramStart"/>
      <w:r w:rsidRPr="00B60838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B60838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85)), Совет Грачевского муниципального округа наделен полномочиями главного</w:t>
      </w:r>
      <w:proofErr w:type="gramEnd"/>
      <w:r w:rsidRPr="00B60838">
        <w:rPr>
          <w:bCs/>
          <w:iCs/>
        </w:rPr>
        <w:t xml:space="preserve"> распорядителя бюджетных средств, получателя бюджетных средств (код ГАБС - 700).</w:t>
      </w:r>
    </w:p>
    <w:p w:rsidR="00B60838" w:rsidRPr="00B60838" w:rsidRDefault="00B60838" w:rsidP="00B60838">
      <w:pPr>
        <w:widowControl w:val="0"/>
        <w:ind w:right="-1" w:firstLine="709"/>
        <w:jc w:val="both"/>
        <w:rPr>
          <w:bCs/>
          <w:iCs/>
        </w:rPr>
      </w:pPr>
      <w:r w:rsidRPr="00B60838">
        <w:rPr>
          <w:bCs/>
          <w:iCs/>
        </w:rPr>
        <w:t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Совет Грачевского муниципального округа не является главным администратором (администратором) доходов, поступающих в бюджет Грачевского муниципального района.</w:t>
      </w:r>
    </w:p>
    <w:p w:rsidR="00B60838" w:rsidRPr="00B60838" w:rsidRDefault="00B60838" w:rsidP="00B60838">
      <w:pPr>
        <w:widowControl w:val="0"/>
        <w:ind w:right="-1" w:firstLine="709"/>
        <w:jc w:val="both"/>
        <w:rPr>
          <w:bCs/>
          <w:iCs/>
        </w:rPr>
      </w:pPr>
      <w:proofErr w:type="gramStart"/>
      <w:r w:rsidRPr="00B60838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B60838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Совету Грачевского муниципального округа, утверждены бюджетные назначения по расходам в объеме 23 000,00 рублей. </w:t>
      </w:r>
      <w:proofErr w:type="gramEnd"/>
    </w:p>
    <w:p w:rsidR="00B60838" w:rsidRDefault="00B60838" w:rsidP="00B60838">
      <w:pPr>
        <w:widowControl w:val="0"/>
        <w:ind w:right="-1" w:firstLine="709"/>
        <w:jc w:val="both"/>
        <w:rPr>
          <w:bCs/>
          <w:iCs/>
        </w:rPr>
      </w:pPr>
      <w:proofErr w:type="gramStart"/>
      <w:r w:rsidRPr="00B60838">
        <w:rPr>
          <w:bCs/>
          <w:iCs/>
        </w:rPr>
        <w:t>По состоянию на 31 декабря 2020 года расходы Совета Грачевского муниципального округа, утвержденные уточненной сводной бюджетной росписью бюджета Грачевского муниципального района на 2020 год (далее – сводная б</w:t>
      </w:r>
      <w:r>
        <w:rPr>
          <w:bCs/>
          <w:iCs/>
        </w:rPr>
        <w:t>юджетная роспись), на 60 000,00 </w:t>
      </w:r>
      <w:r w:rsidRPr="00B60838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83 000,00 рублей.</w:t>
      </w:r>
      <w:proofErr w:type="gramEnd"/>
    </w:p>
    <w:p w:rsidR="00B60838" w:rsidRDefault="00B60838" w:rsidP="004B407A">
      <w:pPr>
        <w:widowControl w:val="0"/>
        <w:ind w:right="-1" w:firstLine="709"/>
        <w:jc w:val="both"/>
        <w:rPr>
          <w:bCs/>
          <w:iCs/>
        </w:rPr>
      </w:pPr>
      <w:r w:rsidRPr="00B60838">
        <w:rPr>
          <w:bCs/>
          <w:iCs/>
        </w:rPr>
        <w:t>Согласно Отчету об исполнении бюджета (форма 0503127) Советом Грачевского муниципального округа, утвержденные на 2020 год бюджетные ассигнования в объеме             83 000,00 рублей, исполнены в сумме 75 633,96 рублей или 91,1%  от показателей сводной бюджетной росписи. Сумма неисполненных бюджетных на</w:t>
      </w:r>
      <w:r>
        <w:rPr>
          <w:bCs/>
          <w:iCs/>
        </w:rPr>
        <w:t>значений составила            7 </w:t>
      </w:r>
      <w:r w:rsidRPr="00B60838">
        <w:rPr>
          <w:bCs/>
          <w:iCs/>
        </w:rPr>
        <w:t>366,04 рублей.</w:t>
      </w:r>
    </w:p>
    <w:p w:rsidR="00B60838" w:rsidRDefault="00B60838" w:rsidP="004B407A">
      <w:pPr>
        <w:widowControl w:val="0"/>
        <w:ind w:firstLine="709"/>
        <w:jc w:val="both"/>
        <w:rPr>
          <w:bCs/>
          <w:iCs/>
        </w:rPr>
      </w:pPr>
      <w:r w:rsidRPr="00B60838">
        <w:rPr>
          <w:bCs/>
          <w:iCs/>
        </w:rPr>
        <w:t>Общая сумма неисполненных бюджетных назначений за 2020 год составила                      7 366,04 рублей или 8,9%  по разделу 0100 «Общегосударственные вопросы» (план –               83 000,00 рублей, исполнено – 75 633,96 рублей).</w:t>
      </w:r>
    </w:p>
    <w:p w:rsidR="00B60838" w:rsidRDefault="00B60838" w:rsidP="004B407A">
      <w:pPr>
        <w:widowControl w:val="0"/>
        <w:ind w:firstLine="709"/>
        <w:jc w:val="both"/>
      </w:pPr>
      <w:r w:rsidRPr="00B60838">
        <w:t>В 2020 году Совет Грачевского муниципального округа не являлась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 xml:space="preserve">нного бюджета и включала в </w:t>
      </w:r>
      <w:r w:rsidRPr="007771FB">
        <w:lastRenderedPageBreak/>
        <w:t>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B60838">
        <w:t>Совета Грачевского муниципального округа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Советом Грачевского муниципального округа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округа Ставропольского края с учетом изменений, внесенных в ходе исполнения бюджета.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отчетности установлено, что контрольные соотношения между показателями форм отчетности соблюдены.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4. Бюджетная отчетность Совета Грачевского муниципального округа за 2020 год обеспечивает достоверное и объективное представление финансового положения по состоянию на 1 января 2021 года.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83 000,00 рублей, исполнено  75 633,96 рублей, или 91,1 процента. Не исполнено плановых назначений – 7 366,04 рублей. 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7. Дебиторская и кредиторская задолженность по состоянию на 01.01.2020 и по состоянию на 01.01.2021 отсутствует.</w:t>
      </w:r>
    </w:p>
    <w:p w:rsidR="00707D49" w:rsidRPr="004A5D56" w:rsidRDefault="009264A0" w:rsidP="00B60838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B60838">
        <w:t>Совета Грачевского муниципального округа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</w:t>
      </w:r>
      <w:proofErr w:type="gramStart"/>
      <w:r w:rsidR="00707D49" w:rsidRPr="004A5D56">
        <w:t>и</w:t>
      </w:r>
      <w:proofErr w:type="gramEnd"/>
      <w:r w:rsidR="00707D49" w:rsidRPr="004A5D56">
        <w:t xml:space="preserve">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lastRenderedPageBreak/>
        <w:t>11. Предложения: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На основании проведенной внешней проверки годовой бюджетной отчетности Совета Грачевского муниципального округа за 2020 год Контрольно-счетная комиссия рекомендует: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60838" w:rsidRDefault="00B60838" w:rsidP="00B60838">
      <w:pPr>
        <w:widowControl w:val="0"/>
        <w:suppressAutoHyphens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707D49" w:rsidRPr="004A5D56" w:rsidRDefault="00B60838" w:rsidP="00B60838">
      <w:pPr>
        <w:widowControl w:val="0"/>
        <w:suppressAutoHyphens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92526B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A3" w:rsidRDefault="008706A3" w:rsidP="000C573B">
      <w:r>
        <w:separator/>
      </w:r>
    </w:p>
  </w:endnote>
  <w:endnote w:type="continuationSeparator" w:id="0">
    <w:p w:rsidR="008706A3" w:rsidRDefault="008706A3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A3" w:rsidRDefault="008706A3" w:rsidP="000C573B">
      <w:r>
        <w:separator/>
      </w:r>
    </w:p>
  </w:footnote>
  <w:footnote w:type="continuationSeparator" w:id="0">
    <w:p w:rsidR="008706A3" w:rsidRDefault="008706A3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3D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6CAC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706A3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9E483D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0838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8D68-8E09-470A-AF8D-B7332C3E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28</cp:revision>
  <cp:lastPrinted>2020-05-07T11:42:00Z</cp:lastPrinted>
  <dcterms:created xsi:type="dcterms:W3CDTF">2019-12-20T06:07:00Z</dcterms:created>
  <dcterms:modified xsi:type="dcterms:W3CDTF">2022-01-11T07:39:00Z</dcterms:modified>
</cp:coreProperties>
</file>