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EB" w:rsidRDefault="008A42FD" w:rsidP="004E5B6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367DEB" w:rsidRDefault="007A5914" w:rsidP="004E5B6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 Совета Грачевского</w:t>
      </w:r>
    </w:p>
    <w:p w:rsidR="00367DEB" w:rsidRDefault="007A5914" w:rsidP="004E5B6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367DEB" w:rsidRDefault="007A5914" w:rsidP="004E5B6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367DEB" w:rsidRDefault="008A42FD" w:rsidP="004E5B6C">
      <w:pPr>
        <w:widowControl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8A42FD">
        <w:rPr>
          <w:rFonts w:ascii="Times New Roman" w:eastAsia="Times New Roman" w:hAnsi="Times New Roman" w:cs="Times New Roman"/>
          <w:sz w:val="28"/>
          <w:szCs w:val="28"/>
        </w:rPr>
        <w:t>от 17.06.2022  № 45</w:t>
      </w:r>
    </w:p>
    <w:p w:rsidR="00367DEB" w:rsidRDefault="00367DEB" w:rsidP="004E5B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DEB" w:rsidRDefault="00367DEB" w:rsidP="004E5B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DEB" w:rsidRDefault="00367DEB" w:rsidP="004E5B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DEB" w:rsidRDefault="00367DEB" w:rsidP="004E5B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DEB" w:rsidRDefault="00367DEB" w:rsidP="004E5B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DEB" w:rsidRPr="00FF380E" w:rsidRDefault="007A5914" w:rsidP="004E5B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5B07D6" w:rsidRPr="005B07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7DEB" w:rsidRDefault="007A5914" w:rsidP="004E5B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деятельности </w:t>
      </w:r>
      <w:r w:rsidR="004B5EFB" w:rsidRPr="004B5EF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Контрольно-счетной комиссии Грачевского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 w:rsidR="00FF380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67DEB" w:rsidRDefault="00367DEB" w:rsidP="004E5B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DEB" w:rsidRDefault="007A5914" w:rsidP="004E5B6C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1B731A" w:rsidRDefault="001B731A" w:rsidP="004E5B6C">
      <w:pPr>
        <w:widowControl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EFB" w:rsidRPr="004B5EFB" w:rsidRDefault="004B5EFB" w:rsidP="004B5EF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5EFB">
        <w:rPr>
          <w:rFonts w:ascii="Times New Roman" w:eastAsia="Times New Roman" w:hAnsi="Times New Roman" w:cs="Times New Roman"/>
          <w:sz w:val="28"/>
          <w:szCs w:val="28"/>
        </w:rPr>
        <w:t>Отч</w:t>
      </w:r>
      <w:r w:rsidR="002E58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>т о деятельности Контрольно-счетной комиссии Грачевского муниципального округа Ставропольского края (далее – отч</w:t>
      </w:r>
      <w:r w:rsidR="002E58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 xml:space="preserve">т) за 2021 год представляется на рассмотрение Совета Грачевского муниципального округа Ставропольского края во исполнение </w:t>
      </w:r>
      <w:hyperlink r:id="rId9" w:history="1">
        <w:r w:rsidRPr="004B5EFB">
          <w:rPr>
            <w:rFonts w:ascii="Times New Roman" w:eastAsia="Times New Roman" w:hAnsi="Times New Roman" w:cs="Times New Roman"/>
            <w:sz w:val="28"/>
            <w:szCs w:val="28"/>
          </w:rPr>
          <w:t>статьи 19</w:t>
        </w:r>
      </w:hyperlink>
      <w:r w:rsidRPr="004B5EF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07.02.2011 № 6-ФЗ «Об общих принципах организации и деятельности контрольно-сч</w:t>
      </w:r>
      <w:r w:rsidR="002E58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 xml:space="preserve">тных органов субъектов Российской Федерации и муниципальных образований» (далее </w:t>
      </w:r>
      <w:r w:rsidRPr="004B5EF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 6-ФЗ). </w:t>
      </w:r>
      <w:proofErr w:type="gramEnd"/>
    </w:p>
    <w:p w:rsidR="004B5EFB" w:rsidRPr="004B5EFB" w:rsidRDefault="004B5EFB" w:rsidP="004B5EF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EFB">
        <w:rPr>
          <w:rFonts w:ascii="Times New Roman" w:eastAsia="Times New Roman" w:hAnsi="Times New Roman" w:cs="Times New Roman"/>
          <w:sz w:val="28"/>
          <w:szCs w:val="28"/>
        </w:rPr>
        <w:t>Отч</w:t>
      </w:r>
      <w:r w:rsidR="002E58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 xml:space="preserve">т содержит информацию об основных направлениях деятельности Контрольно-счетной комиссии Грачевского муниципального округа Ставропольского края (далее - </w:t>
      </w:r>
      <w:r w:rsidRPr="004B5EFB">
        <w:rPr>
          <w:rFonts w:ascii="Times New Roman" w:eastAsia="Calibri" w:hAnsi="Times New Roman" w:cs="Times New Roman"/>
          <w:sz w:val="28"/>
          <w:szCs w:val="28"/>
        </w:rPr>
        <w:t>Контрольно-счетн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4B5EFB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B5E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КСК</w:t>
      </w:r>
      <w:r w:rsidRPr="004B5EF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42A34">
        <w:rPr>
          <w:rFonts w:ascii="Times New Roman" w:eastAsia="Times New Roman" w:hAnsi="Times New Roman" w:cs="Times New Roman"/>
          <w:sz w:val="28"/>
          <w:szCs w:val="28"/>
        </w:rPr>
        <w:t>в 2021 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>году, о провед</w:t>
      </w:r>
      <w:r w:rsidR="002E58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 xml:space="preserve">нных контрольных и экспертно-аналитических мероприятиях, их общих результатах, о принятых объектами проверок мерах по устранению выявленных нарушений и недостатков, а также по выполнению рекомендаций КСК. </w:t>
      </w:r>
    </w:p>
    <w:p w:rsidR="004B5EFB" w:rsidRPr="004B5EFB" w:rsidRDefault="004B5EFB" w:rsidP="004B5EFB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EFB">
        <w:rPr>
          <w:rFonts w:ascii="Times New Roman" w:eastAsia="Times New Roman" w:hAnsi="Times New Roman" w:cs="Times New Roman"/>
          <w:sz w:val="28"/>
          <w:szCs w:val="28"/>
        </w:rPr>
        <w:t>В отч</w:t>
      </w:r>
      <w:r w:rsidR="002E58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 xml:space="preserve">те отражены итоги организационной и информационной деятельности </w:t>
      </w:r>
      <w:r w:rsidR="00A8210E" w:rsidRPr="00A8210E">
        <w:rPr>
          <w:rFonts w:ascii="Times New Roman" w:eastAsia="Times New Roman" w:hAnsi="Times New Roman" w:cs="Times New Roman"/>
          <w:sz w:val="28"/>
          <w:szCs w:val="28"/>
        </w:rPr>
        <w:t>Контрольно-счетн</w:t>
      </w:r>
      <w:r w:rsidR="00A8210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8210E" w:rsidRPr="00A8210E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A821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 xml:space="preserve">, участия в межмуниципальном сотрудничестве, а также приоритетные направления деятельности </w:t>
      </w:r>
      <w:r w:rsidR="00A8210E">
        <w:rPr>
          <w:rFonts w:ascii="Times New Roman" w:eastAsia="Times New Roman" w:hAnsi="Times New Roman" w:cs="Times New Roman"/>
          <w:sz w:val="28"/>
          <w:szCs w:val="28"/>
        </w:rPr>
        <w:t>КСК</w:t>
      </w:r>
      <w:r w:rsidR="00D42A34">
        <w:rPr>
          <w:rFonts w:ascii="Times New Roman" w:eastAsia="Times New Roman" w:hAnsi="Times New Roman" w:cs="Times New Roman"/>
          <w:sz w:val="28"/>
          <w:szCs w:val="28"/>
        </w:rPr>
        <w:t xml:space="preserve"> в 2022 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:rsidR="004B5EFB" w:rsidRPr="004B5EFB" w:rsidRDefault="00A8210E" w:rsidP="004B5EFB">
      <w:pPr>
        <w:suppressAutoHyphens w:val="0"/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10E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комиссия </w:t>
      </w:r>
      <w:r w:rsidR="004B5EFB" w:rsidRPr="004B5EFB">
        <w:rPr>
          <w:rFonts w:ascii="Times New Roman" w:eastAsia="Times New Roman" w:hAnsi="Times New Roman" w:cs="Times New Roman"/>
          <w:sz w:val="28"/>
          <w:szCs w:val="28"/>
        </w:rPr>
        <w:t>входит в структуру органов</w:t>
      </w:r>
      <w:r w:rsidR="000B2F0A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4B5EFB" w:rsidRPr="004B5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F0A" w:rsidRPr="000B2F0A">
        <w:rPr>
          <w:rFonts w:ascii="Times New Roman" w:eastAsia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  <w:r w:rsidR="004B5EFB" w:rsidRPr="004B5EFB">
        <w:rPr>
          <w:rFonts w:ascii="Times New Roman" w:eastAsia="Times New Roman" w:hAnsi="Times New Roman" w:cs="Times New Roman"/>
          <w:sz w:val="28"/>
          <w:szCs w:val="28"/>
        </w:rPr>
        <w:t xml:space="preserve">, обладает правами юридического лица, является участником бюджетного процесса, обладающим бюджетными полномочиями, и действует на основании Устава </w:t>
      </w:r>
      <w:r w:rsidR="000B2F0A" w:rsidRPr="000B2F0A">
        <w:rPr>
          <w:rFonts w:ascii="Times New Roman" w:eastAsia="Times New Roman" w:hAnsi="Times New Roman" w:cs="Times New Roman"/>
          <w:sz w:val="28"/>
          <w:szCs w:val="28"/>
        </w:rPr>
        <w:t xml:space="preserve">Грачевского муниципального округа Ставропольского края </w:t>
      </w:r>
      <w:r w:rsidR="004B5EFB" w:rsidRPr="004B5EFB">
        <w:rPr>
          <w:rFonts w:ascii="Times New Roman" w:eastAsia="Times New Roman" w:hAnsi="Times New Roman" w:cs="Times New Roman"/>
          <w:sz w:val="28"/>
          <w:szCs w:val="28"/>
        </w:rPr>
        <w:t xml:space="preserve">и Положения, утвержденного решением </w:t>
      </w:r>
      <w:r w:rsidR="000B2F0A" w:rsidRPr="000B2F0A">
        <w:rPr>
          <w:rFonts w:ascii="Times New Roman" w:eastAsia="Times New Roman" w:hAnsi="Times New Roman" w:cs="Times New Roman"/>
          <w:sz w:val="28"/>
          <w:szCs w:val="28"/>
        </w:rPr>
        <w:t xml:space="preserve">Совета Грачевского муниципального округа Ставропольского края </w:t>
      </w:r>
      <w:r w:rsidR="004B5EFB" w:rsidRPr="004B5EFB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="004B5EFB" w:rsidRPr="004B5E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B5EFB" w:rsidRPr="004B5EFB" w:rsidRDefault="004B5EFB" w:rsidP="00D42A34">
      <w:pPr>
        <w:suppressAutoHyphens w:val="0"/>
        <w:spacing w:after="1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E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Являясь постоянно действующим органом внешнего муниципального финансового контроля с организационной и функциональной независимостью и осуществляющим свою деятельность самостоятельно, </w:t>
      </w:r>
      <w:r w:rsidR="001B731A" w:rsidRPr="001B731A">
        <w:rPr>
          <w:rFonts w:ascii="Times New Roman" w:eastAsia="Times New Roman" w:hAnsi="Times New Roman" w:cs="Times New Roman"/>
          <w:sz w:val="28"/>
          <w:szCs w:val="28"/>
        </w:rPr>
        <w:t>Контрольно-счетная комиссия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 xml:space="preserve"> подотч</w:t>
      </w:r>
      <w:r w:rsidR="002E581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 xml:space="preserve">тна </w:t>
      </w:r>
      <w:r w:rsidR="001B731A" w:rsidRPr="001B731A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1B731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B731A" w:rsidRPr="001B731A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муниципального округа Ставропольского края</w:t>
      </w:r>
      <w:r w:rsidRPr="004B5E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E38" w:rsidRPr="00743489" w:rsidRDefault="005C7E38" w:rsidP="000B2F0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:rsidR="00367DEB" w:rsidRDefault="007A5914" w:rsidP="000B2F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Основные </w:t>
      </w:r>
      <w:r w:rsidR="001B731A">
        <w:rPr>
          <w:rFonts w:ascii="Times New Roman" w:hAnsi="Times New Roman" w:cs="Times New Roman"/>
          <w:b/>
          <w:sz w:val="28"/>
          <w:szCs w:val="28"/>
        </w:rPr>
        <w:t>итоги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 деятельности</w:t>
      </w:r>
    </w:p>
    <w:p w:rsidR="00367DEB" w:rsidRDefault="007A5914" w:rsidP="000B2F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комиссии в 202</w:t>
      </w:r>
      <w:r w:rsidR="001B731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027D5" w:rsidRDefault="000027D5" w:rsidP="000B2F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7D5" w:rsidRPr="000027D5" w:rsidRDefault="000027D5" w:rsidP="000027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D5">
        <w:rPr>
          <w:rFonts w:ascii="Times New Roman" w:hAnsi="Times New Roman" w:cs="Times New Roman"/>
          <w:sz w:val="28"/>
          <w:szCs w:val="28"/>
        </w:rPr>
        <w:t xml:space="preserve">На основании ст.12 Федерального закона № 6-ФЗ Контрольно-счетная комиссия в 2021 году осуществляла свою деятельность согласно плану работы. </w:t>
      </w:r>
    </w:p>
    <w:p w:rsidR="000027D5" w:rsidRDefault="000027D5" w:rsidP="000027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D5">
        <w:rPr>
          <w:rFonts w:ascii="Times New Roman" w:hAnsi="Times New Roman" w:cs="Times New Roman"/>
          <w:sz w:val="28"/>
          <w:szCs w:val="28"/>
        </w:rPr>
        <w:t>В план работы на 2021 год включены мероприятия, которые позволили охватить основные отрасли и направления расходов, предусмотренные бюджетом Грачевского муниципального округа Ставропольского края, а также обеспечить исполнение полномочий Контрольно-счетной комиссии.</w:t>
      </w:r>
    </w:p>
    <w:p w:rsidR="00C03733" w:rsidRPr="00195FB4" w:rsidRDefault="00C03733" w:rsidP="00EF45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03733">
        <w:rPr>
          <w:rFonts w:ascii="Times New Roman" w:hAnsi="Times New Roman" w:cs="Times New Roman"/>
          <w:sz w:val="28"/>
          <w:szCs w:val="28"/>
        </w:rPr>
        <w:t>Всего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373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C03733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C03733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</w:t>
      </w:r>
      <w:r w:rsidR="00886965">
        <w:rPr>
          <w:rFonts w:ascii="Times New Roman" w:hAnsi="Times New Roman" w:cs="Times New Roman"/>
          <w:sz w:val="28"/>
          <w:szCs w:val="28"/>
        </w:rPr>
        <w:t xml:space="preserve">приятий </w:t>
      </w:r>
      <w:r w:rsidR="00886965" w:rsidRPr="00886965">
        <w:rPr>
          <w:rFonts w:ascii="Times New Roman" w:hAnsi="Times New Roman" w:cs="Times New Roman"/>
          <w:sz w:val="28"/>
          <w:szCs w:val="28"/>
        </w:rPr>
        <w:t>(</w:t>
      </w:r>
      <w:r w:rsidR="00886965">
        <w:rPr>
          <w:rFonts w:ascii="Times New Roman" w:hAnsi="Times New Roman" w:cs="Times New Roman"/>
          <w:sz w:val="28"/>
          <w:szCs w:val="28"/>
        </w:rPr>
        <w:t>4</w:t>
      </w:r>
      <w:r w:rsidR="00886965" w:rsidRPr="00886965">
        <w:rPr>
          <w:rFonts w:ascii="Times New Roman" w:hAnsi="Times New Roman" w:cs="Times New Roman"/>
          <w:sz w:val="28"/>
          <w:szCs w:val="28"/>
        </w:rPr>
        <w:t xml:space="preserve"> контрольных и 5</w:t>
      </w:r>
      <w:r w:rsidR="00886965">
        <w:rPr>
          <w:rFonts w:ascii="Times New Roman" w:hAnsi="Times New Roman" w:cs="Times New Roman"/>
          <w:sz w:val="28"/>
          <w:szCs w:val="28"/>
        </w:rPr>
        <w:t>2</w:t>
      </w:r>
      <w:r w:rsidR="00886965" w:rsidRPr="00886965">
        <w:rPr>
          <w:rFonts w:ascii="Times New Roman" w:hAnsi="Times New Roman" w:cs="Times New Roman"/>
          <w:sz w:val="28"/>
          <w:szCs w:val="28"/>
        </w:rPr>
        <w:t xml:space="preserve"> экспертно-аналитических)</w:t>
      </w:r>
      <w:r w:rsidR="00195FB4">
        <w:rPr>
          <w:rFonts w:ascii="Times New Roman" w:hAnsi="Times New Roman" w:cs="Times New Roman"/>
          <w:sz w:val="28"/>
          <w:szCs w:val="28"/>
        </w:rPr>
        <w:t>, в том числе п</w:t>
      </w:r>
      <w:r w:rsidR="00195FB4" w:rsidRPr="00195FB4">
        <w:rPr>
          <w:rFonts w:ascii="Times New Roman" w:hAnsi="Times New Roman" w:cs="Times New Roman"/>
          <w:sz w:val="28"/>
          <w:szCs w:val="28"/>
        </w:rPr>
        <w:t xml:space="preserve">о предложению главы Грачевского муниципального округа Ставропольского края проведено </w:t>
      </w:r>
      <w:r w:rsidR="00195FB4">
        <w:rPr>
          <w:rFonts w:ascii="Times New Roman" w:hAnsi="Times New Roman" w:cs="Times New Roman"/>
          <w:sz w:val="28"/>
          <w:szCs w:val="28"/>
        </w:rPr>
        <w:t xml:space="preserve">2 контрольных </w:t>
      </w:r>
      <w:r w:rsidR="00195FB4" w:rsidRPr="00195FB4">
        <w:rPr>
          <w:rFonts w:ascii="Times New Roman" w:hAnsi="Times New Roman" w:cs="Times New Roman"/>
          <w:sz w:val="28"/>
          <w:szCs w:val="28"/>
        </w:rPr>
        <w:t>мероприяти</w:t>
      </w:r>
      <w:r w:rsidR="00195FB4">
        <w:rPr>
          <w:rFonts w:ascii="Times New Roman" w:hAnsi="Times New Roman" w:cs="Times New Roman"/>
          <w:sz w:val="28"/>
          <w:szCs w:val="28"/>
        </w:rPr>
        <w:t>я</w:t>
      </w:r>
      <w:r w:rsidR="00886965" w:rsidRPr="00886965">
        <w:rPr>
          <w:rFonts w:ascii="Times New Roman" w:hAnsi="Times New Roman" w:cs="Times New Roman"/>
          <w:sz w:val="28"/>
          <w:szCs w:val="28"/>
        </w:rPr>
        <w:t xml:space="preserve">. </w:t>
      </w:r>
      <w:r w:rsidR="00EF45D7" w:rsidRPr="00EF45D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B5A4E">
        <w:rPr>
          <w:rFonts w:ascii="Times New Roman" w:hAnsi="Times New Roman" w:cs="Times New Roman"/>
          <w:sz w:val="28"/>
          <w:szCs w:val="28"/>
        </w:rPr>
        <w:t>4 </w:t>
      </w:r>
      <w:r w:rsidR="00EF45D7" w:rsidRPr="00EF45D7">
        <w:rPr>
          <w:rFonts w:ascii="Times New Roman" w:hAnsi="Times New Roman" w:cs="Times New Roman"/>
          <w:sz w:val="28"/>
          <w:szCs w:val="28"/>
        </w:rPr>
        <w:t>контрольных</w:t>
      </w:r>
      <w:r w:rsidR="00EF45D7">
        <w:rPr>
          <w:rFonts w:ascii="Times New Roman" w:hAnsi="Times New Roman" w:cs="Times New Roman"/>
          <w:sz w:val="28"/>
          <w:szCs w:val="28"/>
        </w:rPr>
        <w:t xml:space="preserve"> </w:t>
      </w:r>
      <w:r w:rsidR="00EF45D7" w:rsidRPr="00EF45D7">
        <w:rPr>
          <w:rFonts w:ascii="Times New Roman" w:hAnsi="Times New Roman" w:cs="Times New Roman"/>
          <w:sz w:val="28"/>
          <w:szCs w:val="28"/>
        </w:rPr>
        <w:t>мероприятий проводился аудит в сфере закупок товаров, работ и услуг.</w:t>
      </w:r>
      <w:r w:rsidR="00EF45D7" w:rsidRPr="00EF45D7">
        <w:t xml:space="preserve"> </w:t>
      </w:r>
    </w:p>
    <w:p w:rsidR="00886965" w:rsidRPr="00BB5A4E" w:rsidRDefault="00F37E82" w:rsidP="00367F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886965" w:rsidRPr="0088696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86965" w:rsidRPr="00886965">
        <w:rPr>
          <w:rFonts w:ascii="Times New Roman" w:hAnsi="Times New Roman" w:cs="Times New Roman"/>
          <w:sz w:val="28"/>
          <w:szCs w:val="28"/>
        </w:rPr>
        <w:t xml:space="preserve"> стали объектами контрольных и </w:t>
      </w:r>
      <w:r w:rsidR="00367F0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6965" w:rsidRPr="00886965">
        <w:rPr>
          <w:rFonts w:ascii="Times New Roman" w:hAnsi="Times New Roman" w:cs="Times New Roman"/>
          <w:sz w:val="28"/>
          <w:szCs w:val="28"/>
        </w:rPr>
        <w:t>экспертно</w:t>
      </w:r>
      <w:r w:rsidR="00886965">
        <w:rPr>
          <w:rFonts w:ascii="Times New Roman" w:hAnsi="Times New Roman" w:cs="Times New Roman"/>
          <w:sz w:val="28"/>
          <w:szCs w:val="28"/>
        </w:rPr>
        <w:t>-</w:t>
      </w:r>
      <w:r w:rsidR="00886965" w:rsidRPr="00886965">
        <w:rPr>
          <w:rFonts w:ascii="Times New Roman" w:hAnsi="Times New Roman" w:cs="Times New Roman"/>
          <w:sz w:val="28"/>
          <w:szCs w:val="28"/>
        </w:rPr>
        <w:t xml:space="preserve">аналитических мероприятий </w:t>
      </w:r>
      <w:r w:rsidR="00886965" w:rsidRPr="002C6651">
        <w:rPr>
          <w:rFonts w:ascii="Times New Roman" w:hAnsi="Times New Roman" w:cs="Times New Roman"/>
          <w:sz w:val="28"/>
          <w:szCs w:val="28"/>
        </w:rPr>
        <w:t xml:space="preserve">(далее – объекты </w:t>
      </w:r>
      <w:proofErr w:type="gramStart"/>
      <w:r w:rsidR="00886965" w:rsidRPr="002C665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886965" w:rsidRPr="002C6651">
        <w:rPr>
          <w:rFonts w:ascii="Times New Roman" w:hAnsi="Times New Roman" w:cs="Times New Roman"/>
          <w:sz w:val="28"/>
          <w:szCs w:val="28"/>
        </w:rPr>
        <w:t xml:space="preserve"> и ЭАМ)</w:t>
      </w:r>
      <w:r w:rsidR="00886965" w:rsidRPr="00886965">
        <w:rPr>
          <w:rFonts w:ascii="Times New Roman" w:hAnsi="Times New Roman" w:cs="Times New Roman"/>
          <w:sz w:val="28"/>
          <w:szCs w:val="28"/>
        </w:rPr>
        <w:t xml:space="preserve"> в о</w:t>
      </w:r>
      <w:r w:rsidR="00886965" w:rsidRPr="00BB5A4E">
        <w:rPr>
          <w:rFonts w:ascii="Times New Roman" w:hAnsi="Times New Roman" w:cs="Times New Roman"/>
          <w:sz w:val="28"/>
          <w:szCs w:val="28"/>
        </w:rPr>
        <w:t>тчетном периоде, из них:</w:t>
      </w:r>
    </w:p>
    <w:p w:rsidR="00886965" w:rsidRPr="00BB5A4E" w:rsidRDefault="00EA4DB8" w:rsidP="00EA4D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4E">
        <w:rPr>
          <w:rFonts w:ascii="Times New Roman" w:hAnsi="Times New Roman" w:cs="Times New Roman"/>
          <w:sz w:val="28"/>
          <w:szCs w:val="28"/>
        </w:rPr>
        <w:t xml:space="preserve">- </w:t>
      </w:r>
      <w:r w:rsidR="00D42A34" w:rsidRPr="00BB5A4E">
        <w:rPr>
          <w:rFonts w:ascii="Times New Roman" w:hAnsi="Times New Roman" w:cs="Times New Roman"/>
          <w:sz w:val="28"/>
          <w:szCs w:val="28"/>
        </w:rPr>
        <w:t>49</w:t>
      </w:r>
      <w:r w:rsidR="00886965" w:rsidRPr="00BB5A4E">
        <w:rPr>
          <w:rFonts w:ascii="Times New Roman" w:hAnsi="Times New Roman" w:cs="Times New Roman"/>
          <w:sz w:val="28"/>
          <w:szCs w:val="28"/>
        </w:rPr>
        <w:t xml:space="preserve"> </w:t>
      </w:r>
      <w:r w:rsidR="00D42A34" w:rsidRPr="00BB5A4E">
        <w:rPr>
          <w:rFonts w:ascii="Times New Roman" w:hAnsi="Times New Roman" w:cs="Times New Roman"/>
          <w:sz w:val="28"/>
          <w:szCs w:val="28"/>
        </w:rPr>
        <w:t>органов</w:t>
      </w:r>
      <w:r w:rsidRPr="00BB5A4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42A34" w:rsidRPr="00BB5A4E">
        <w:rPr>
          <w:rFonts w:ascii="Times New Roman" w:hAnsi="Times New Roman" w:cs="Times New Roman"/>
          <w:sz w:val="28"/>
          <w:szCs w:val="28"/>
        </w:rPr>
        <w:t xml:space="preserve">, </w:t>
      </w:r>
      <w:r w:rsidR="00BB5A4E" w:rsidRPr="00BB5A4E">
        <w:rPr>
          <w:rFonts w:ascii="Times New Roman" w:hAnsi="Times New Roman" w:cs="Times New Roman"/>
          <w:sz w:val="28"/>
          <w:szCs w:val="28"/>
        </w:rPr>
        <w:t>структурных</w:t>
      </w:r>
      <w:r w:rsidR="00D42A34" w:rsidRPr="00BB5A4E">
        <w:rPr>
          <w:rFonts w:ascii="Times New Roman" w:hAnsi="Times New Roman" w:cs="Times New Roman"/>
          <w:sz w:val="28"/>
          <w:szCs w:val="28"/>
        </w:rPr>
        <w:t xml:space="preserve"> и территориальных подразделений исполнительно-распорядительного органа </w:t>
      </w:r>
      <w:r w:rsidRPr="00BB5A4E">
        <w:rPr>
          <w:rFonts w:ascii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  <w:r w:rsidR="00886965" w:rsidRPr="00BB5A4E">
        <w:rPr>
          <w:rFonts w:ascii="Times New Roman" w:hAnsi="Times New Roman" w:cs="Times New Roman"/>
          <w:sz w:val="28"/>
          <w:szCs w:val="28"/>
        </w:rPr>
        <w:t>;</w:t>
      </w:r>
    </w:p>
    <w:p w:rsidR="00886965" w:rsidRPr="00BB5A4E" w:rsidRDefault="00886965" w:rsidP="00367F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4E">
        <w:rPr>
          <w:rFonts w:ascii="Times New Roman" w:hAnsi="Times New Roman" w:cs="Times New Roman"/>
          <w:sz w:val="28"/>
          <w:szCs w:val="28"/>
        </w:rPr>
        <w:t xml:space="preserve">- </w:t>
      </w:r>
      <w:r w:rsidR="00367F0B" w:rsidRPr="00BB5A4E">
        <w:rPr>
          <w:rFonts w:ascii="Times New Roman" w:hAnsi="Times New Roman" w:cs="Times New Roman"/>
          <w:sz w:val="28"/>
          <w:szCs w:val="28"/>
        </w:rPr>
        <w:t>1</w:t>
      </w:r>
      <w:r w:rsidRPr="00BB5A4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67F0B" w:rsidRPr="00BB5A4E">
        <w:rPr>
          <w:rFonts w:ascii="Times New Roman" w:hAnsi="Times New Roman" w:cs="Times New Roman"/>
          <w:sz w:val="28"/>
          <w:szCs w:val="28"/>
        </w:rPr>
        <w:t>ое</w:t>
      </w:r>
      <w:r w:rsidRPr="00BB5A4E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367F0B" w:rsidRPr="00BB5A4E">
        <w:rPr>
          <w:rFonts w:ascii="Times New Roman" w:hAnsi="Times New Roman" w:cs="Times New Roman"/>
          <w:sz w:val="28"/>
          <w:szCs w:val="28"/>
        </w:rPr>
        <w:t>ое</w:t>
      </w:r>
      <w:r w:rsidRPr="00BB5A4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67F0B" w:rsidRPr="00BB5A4E">
        <w:rPr>
          <w:rFonts w:ascii="Times New Roman" w:hAnsi="Times New Roman" w:cs="Times New Roman"/>
          <w:sz w:val="28"/>
          <w:szCs w:val="28"/>
        </w:rPr>
        <w:t>е</w:t>
      </w:r>
      <w:r w:rsidRPr="00BB5A4E">
        <w:rPr>
          <w:rFonts w:ascii="Times New Roman" w:hAnsi="Times New Roman" w:cs="Times New Roman"/>
          <w:sz w:val="28"/>
          <w:szCs w:val="28"/>
        </w:rPr>
        <w:t>;</w:t>
      </w:r>
    </w:p>
    <w:p w:rsidR="00886965" w:rsidRPr="00886965" w:rsidRDefault="00886965" w:rsidP="00367F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4E">
        <w:rPr>
          <w:rFonts w:ascii="Times New Roman" w:hAnsi="Times New Roman" w:cs="Times New Roman"/>
          <w:sz w:val="28"/>
          <w:szCs w:val="28"/>
        </w:rPr>
        <w:t xml:space="preserve">- </w:t>
      </w:r>
      <w:r w:rsidR="00367F0B" w:rsidRPr="00BB5A4E">
        <w:rPr>
          <w:rFonts w:ascii="Times New Roman" w:hAnsi="Times New Roman" w:cs="Times New Roman"/>
          <w:sz w:val="28"/>
          <w:szCs w:val="28"/>
        </w:rPr>
        <w:t>2</w:t>
      </w:r>
      <w:r w:rsidRPr="00BB5A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A4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B5A4E">
        <w:rPr>
          <w:rFonts w:ascii="Times New Roman" w:hAnsi="Times New Roman" w:cs="Times New Roman"/>
          <w:sz w:val="28"/>
          <w:szCs w:val="28"/>
        </w:rPr>
        <w:t xml:space="preserve"> казенных учреждения</w:t>
      </w:r>
      <w:r w:rsidR="00367F0B" w:rsidRPr="00BB5A4E">
        <w:rPr>
          <w:rFonts w:ascii="Times New Roman" w:hAnsi="Times New Roman" w:cs="Times New Roman"/>
          <w:sz w:val="28"/>
          <w:szCs w:val="28"/>
        </w:rPr>
        <w:t>.</w:t>
      </w:r>
    </w:p>
    <w:p w:rsidR="00C03733" w:rsidRDefault="00C03733" w:rsidP="000027D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B87" w:rsidRPr="00E34B87" w:rsidRDefault="00E34B87" w:rsidP="00E34B87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B87">
        <w:rPr>
          <w:rFonts w:ascii="Times New Roman" w:eastAsia="Times New Roman" w:hAnsi="Times New Roman" w:cs="Times New Roman"/>
          <w:sz w:val="28"/>
          <w:szCs w:val="28"/>
        </w:rPr>
        <w:t xml:space="preserve">Объем проверенных бюджетных средств в 2021 году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E34B87">
        <w:rPr>
          <w:rFonts w:ascii="Times New Roman" w:eastAsia="Times New Roman" w:hAnsi="Times New Roman" w:cs="Times New Roman"/>
          <w:sz w:val="28"/>
          <w:szCs w:val="28"/>
        </w:rPr>
        <w:t>1 366 746,55 тыс. рублей.</w:t>
      </w:r>
    </w:p>
    <w:p w:rsidR="00274A52" w:rsidRDefault="00E34B87" w:rsidP="00E34B87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B87">
        <w:rPr>
          <w:rFonts w:ascii="Times New Roman" w:eastAsia="Times New Roman" w:hAnsi="Times New Roman" w:cs="Times New Roman"/>
          <w:sz w:val="28"/>
          <w:szCs w:val="28"/>
        </w:rPr>
        <w:t xml:space="preserve">Общая сумма выявленных в 2021 году нарушений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9 290,71 тыс</w:t>
      </w:r>
      <w:r w:rsidRPr="00E34B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B87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E34B87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1337BC" w:rsidRDefault="001337BC" w:rsidP="00E34B87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7C0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нарушения при осуществлении государственных (муниципальных) закупок – на сумму 5 573,90 тыс. рублей (</w:t>
      </w:r>
      <w:r w:rsidR="000922A8" w:rsidRPr="008427C0">
        <w:rPr>
          <w:rFonts w:ascii="Times New Roman" w:eastAsia="Times New Roman" w:hAnsi="Times New Roman" w:cs="Times New Roman"/>
          <w:b/>
          <w:i/>
          <w:sz w:val="28"/>
          <w:szCs w:val="28"/>
        </w:rPr>
        <w:t>60,0</w:t>
      </w:r>
      <w:r w:rsidRPr="008427C0">
        <w:rPr>
          <w:rFonts w:ascii="Times New Roman" w:eastAsia="Times New Roman" w:hAnsi="Times New Roman" w:cs="Times New Roman"/>
          <w:b/>
          <w:i/>
          <w:sz w:val="28"/>
          <w:szCs w:val="28"/>
        </w:rPr>
        <w:t>%)</w:t>
      </w:r>
      <w:r w:rsidRPr="001337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37BC" w:rsidRDefault="006B3AF2" w:rsidP="00E34B87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AF2">
        <w:rPr>
          <w:rFonts w:ascii="Times New Roman" w:eastAsia="Times New Roman" w:hAnsi="Times New Roman" w:cs="Times New Roman"/>
          <w:sz w:val="28"/>
          <w:szCs w:val="28"/>
        </w:rPr>
        <w:t xml:space="preserve">нарушения при формировании и исполнении бюджетов -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1 974,01</w:t>
      </w:r>
      <w:r w:rsidRPr="006B3AF2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922A8">
        <w:rPr>
          <w:rFonts w:ascii="Times New Roman" w:eastAsia="Times New Roman" w:hAnsi="Times New Roman" w:cs="Times New Roman"/>
          <w:sz w:val="28"/>
          <w:szCs w:val="28"/>
        </w:rPr>
        <w:t>21,2</w:t>
      </w:r>
      <w:r w:rsidRPr="006B3AF2">
        <w:rPr>
          <w:rFonts w:ascii="Times New Roman" w:eastAsia="Times New Roman" w:hAnsi="Times New Roman" w:cs="Times New Roman"/>
          <w:sz w:val="28"/>
          <w:szCs w:val="28"/>
        </w:rPr>
        <w:t>%);</w:t>
      </w:r>
    </w:p>
    <w:p w:rsidR="003E6136" w:rsidRPr="003E6136" w:rsidRDefault="003E6136" w:rsidP="003E6136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36">
        <w:rPr>
          <w:rFonts w:ascii="Times New Roman" w:eastAsia="Times New Roman" w:hAnsi="Times New Roman" w:cs="Times New Roman"/>
          <w:sz w:val="28"/>
          <w:szCs w:val="28"/>
        </w:rPr>
        <w:t xml:space="preserve">нарушения ведения бюджетного (бухгалтерского) учета, составления и представления бюджетной, бухгалтерской (финансовой) отчетности - на сумму </w:t>
      </w:r>
      <w:r w:rsidR="006B3AF2">
        <w:rPr>
          <w:rFonts w:ascii="Times New Roman" w:eastAsia="Times New Roman" w:hAnsi="Times New Roman" w:cs="Times New Roman"/>
          <w:sz w:val="28"/>
          <w:szCs w:val="28"/>
        </w:rPr>
        <w:t xml:space="preserve">1 290,97 </w:t>
      </w:r>
      <w:r w:rsidR="006B3AF2" w:rsidRPr="006B3AF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3E6136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0922A8">
        <w:rPr>
          <w:rFonts w:ascii="Times New Roman" w:eastAsia="Times New Roman" w:hAnsi="Times New Roman" w:cs="Times New Roman"/>
          <w:sz w:val="28"/>
          <w:szCs w:val="28"/>
        </w:rPr>
        <w:t>13,9</w:t>
      </w:r>
      <w:r w:rsidRPr="003E6136">
        <w:rPr>
          <w:rFonts w:ascii="Times New Roman" w:eastAsia="Times New Roman" w:hAnsi="Times New Roman" w:cs="Times New Roman"/>
          <w:sz w:val="28"/>
          <w:szCs w:val="28"/>
        </w:rPr>
        <w:t>% от общей суммы выявленных нарушений);</w:t>
      </w:r>
    </w:p>
    <w:p w:rsidR="003E6136" w:rsidRPr="003E6136" w:rsidRDefault="003E6136" w:rsidP="003E6136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136">
        <w:rPr>
          <w:rFonts w:ascii="Times New Roman" w:eastAsia="Times New Roman" w:hAnsi="Times New Roman" w:cs="Times New Roman"/>
          <w:sz w:val="28"/>
          <w:szCs w:val="28"/>
        </w:rPr>
        <w:t xml:space="preserve">иные нарушения - на сумму </w:t>
      </w:r>
      <w:r w:rsidR="006B3AF2">
        <w:rPr>
          <w:rFonts w:ascii="Times New Roman" w:eastAsia="Times New Roman" w:hAnsi="Times New Roman" w:cs="Times New Roman"/>
          <w:sz w:val="28"/>
          <w:szCs w:val="28"/>
        </w:rPr>
        <w:t>454,</w:t>
      </w:r>
      <w:r w:rsidR="00BB5A4E">
        <w:rPr>
          <w:rFonts w:ascii="Times New Roman" w:eastAsia="Times New Roman" w:hAnsi="Times New Roman" w:cs="Times New Roman"/>
          <w:sz w:val="28"/>
          <w:szCs w:val="28"/>
        </w:rPr>
        <w:t>8</w:t>
      </w:r>
      <w:r w:rsidR="006B3A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AF2" w:rsidRPr="006B3AF2">
        <w:rPr>
          <w:rFonts w:ascii="Times New Roman" w:eastAsia="Times New Roman" w:hAnsi="Times New Roman" w:cs="Times New Roman"/>
          <w:sz w:val="28"/>
          <w:szCs w:val="28"/>
        </w:rPr>
        <w:t xml:space="preserve">тыс. рублей </w:t>
      </w:r>
      <w:r w:rsidRPr="003E6136">
        <w:rPr>
          <w:rFonts w:ascii="Times New Roman" w:eastAsia="Times New Roman" w:hAnsi="Times New Roman" w:cs="Times New Roman"/>
          <w:sz w:val="28"/>
          <w:szCs w:val="28"/>
        </w:rPr>
        <w:t>(</w:t>
      </w:r>
      <w:r w:rsidR="000922A8">
        <w:rPr>
          <w:rFonts w:ascii="Times New Roman" w:eastAsia="Times New Roman" w:hAnsi="Times New Roman" w:cs="Times New Roman"/>
          <w:sz w:val="28"/>
          <w:szCs w:val="28"/>
        </w:rPr>
        <w:t>4,9</w:t>
      </w:r>
      <w:r w:rsidRPr="003E6136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046BA5" w:rsidRDefault="00590A97" w:rsidP="007C1D63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A97">
        <w:rPr>
          <w:rFonts w:ascii="Times New Roman" w:eastAsia="Times New Roman" w:hAnsi="Times New Roman" w:cs="Times New Roman"/>
          <w:sz w:val="28"/>
          <w:szCs w:val="28"/>
        </w:rPr>
        <w:t xml:space="preserve">Выявляемые нарушения учитывались как в суммовом, так и в количественном выражении в соответствии </w:t>
      </w:r>
      <w:r w:rsidRPr="007A390B">
        <w:rPr>
          <w:rFonts w:ascii="Times New Roman" w:eastAsia="Times New Roman" w:hAnsi="Times New Roman" w:cs="Times New Roman"/>
          <w:sz w:val="28"/>
          <w:szCs w:val="28"/>
        </w:rPr>
        <w:t>с Классификатором нарушений, выявляемых в ходе внешнего муниц</w:t>
      </w:r>
      <w:r w:rsidR="00FA5AB5" w:rsidRPr="007A390B">
        <w:rPr>
          <w:rFonts w:ascii="Times New Roman" w:eastAsia="Times New Roman" w:hAnsi="Times New Roman" w:cs="Times New Roman"/>
          <w:sz w:val="28"/>
          <w:szCs w:val="28"/>
        </w:rPr>
        <w:t xml:space="preserve">ипального финансового контроля </w:t>
      </w:r>
      <w:r w:rsidRPr="007A390B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7A390B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Классификатор)</w:t>
      </w:r>
      <w:r w:rsidR="007C1D63" w:rsidRPr="007A39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1D63" w:rsidRPr="007A390B">
        <w:t xml:space="preserve"> </w:t>
      </w:r>
      <w:r w:rsidR="007C1D63" w:rsidRPr="007A390B">
        <w:rPr>
          <w:rFonts w:ascii="Times New Roman" w:eastAsia="Times New Roman" w:hAnsi="Times New Roman" w:cs="Times New Roman"/>
          <w:sz w:val="28"/>
          <w:szCs w:val="28"/>
        </w:rPr>
        <w:t>утвержденного Коллегией С</w:t>
      </w:r>
      <w:r w:rsidR="00FA5AB5" w:rsidRPr="007A390B">
        <w:rPr>
          <w:rFonts w:ascii="Times New Roman" w:eastAsia="Times New Roman" w:hAnsi="Times New Roman" w:cs="Times New Roman"/>
          <w:sz w:val="28"/>
          <w:szCs w:val="28"/>
        </w:rPr>
        <w:t>четной палаты РФ от 18.12.2014г.</w:t>
      </w:r>
    </w:p>
    <w:p w:rsidR="001F1FBC" w:rsidRDefault="001F1FBC" w:rsidP="003E6136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5000" w:type="pct"/>
        <w:tblLayout w:type="fixed"/>
        <w:tblLook w:val="04A0" w:firstRow="1" w:lastRow="0" w:firstColumn="1" w:lastColumn="0" w:noHBand="0" w:noVBand="1"/>
      </w:tblPr>
      <w:tblGrid>
        <w:gridCol w:w="487"/>
        <w:gridCol w:w="4442"/>
        <w:gridCol w:w="853"/>
        <w:gridCol w:w="1985"/>
        <w:gridCol w:w="1974"/>
      </w:tblGrid>
      <w:tr w:rsidR="00046BA5" w:rsidRPr="00046BA5" w:rsidTr="00BB5A4E">
        <w:trPr>
          <w:trHeight w:val="113"/>
        </w:trPr>
        <w:tc>
          <w:tcPr>
            <w:tcW w:w="250" w:type="pct"/>
            <w:vMerge w:val="restart"/>
            <w:vAlign w:val="center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46B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46B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80" w:type="pct"/>
            <w:vMerge w:val="restart"/>
            <w:vAlign w:val="center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группы нарушений</w:t>
            </w:r>
          </w:p>
        </w:tc>
        <w:tc>
          <w:tcPr>
            <w:tcW w:w="2470" w:type="pct"/>
            <w:gridSpan w:val="3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Выявлено нарушений</w:t>
            </w:r>
          </w:p>
        </w:tc>
      </w:tr>
      <w:tr w:rsidR="00046BA5" w:rsidRPr="00046BA5" w:rsidTr="00BB5A4E">
        <w:trPr>
          <w:trHeight w:val="113"/>
        </w:trPr>
        <w:tc>
          <w:tcPr>
            <w:tcW w:w="250" w:type="pct"/>
            <w:vMerge/>
            <w:vAlign w:val="center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pct"/>
            <w:vMerge/>
            <w:vAlign w:val="center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2033" w:type="pct"/>
            <w:gridSpan w:val="2"/>
          </w:tcPr>
          <w:p w:rsidR="00046BA5" w:rsidRPr="00046BA5" w:rsidRDefault="00BB5A4E" w:rsidP="00BB5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BA5" w:rsidRPr="00046BA5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стоимостное выражение</w:t>
            </w:r>
          </w:p>
        </w:tc>
      </w:tr>
      <w:tr w:rsidR="00046BA5" w:rsidRPr="00046BA5" w:rsidTr="00BB5A4E">
        <w:trPr>
          <w:trHeight w:val="113"/>
        </w:trPr>
        <w:tc>
          <w:tcPr>
            <w:tcW w:w="250" w:type="pct"/>
            <w:vMerge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pct"/>
            <w:vMerge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vAlign w:val="center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(ед.)</w:t>
            </w:r>
          </w:p>
        </w:tc>
        <w:tc>
          <w:tcPr>
            <w:tcW w:w="1014" w:type="pct"/>
            <w:vAlign w:val="center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046BA5" w:rsidRPr="00046BA5" w:rsidTr="00BB5A4E">
        <w:trPr>
          <w:trHeight w:val="113"/>
        </w:trPr>
        <w:tc>
          <w:tcPr>
            <w:tcW w:w="250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Нарушения при формировании и исполнение бюджетов</w:t>
            </w:r>
          </w:p>
        </w:tc>
        <w:tc>
          <w:tcPr>
            <w:tcW w:w="438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</w:p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1 974,01</w:t>
            </w:r>
          </w:p>
        </w:tc>
      </w:tr>
      <w:tr w:rsidR="00046BA5" w:rsidRPr="00046BA5" w:rsidTr="00BB5A4E">
        <w:trPr>
          <w:trHeight w:val="113"/>
        </w:trPr>
        <w:tc>
          <w:tcPr>
            <w:tcW w:w="250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0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Нарушения ведения бухгалтерского учета,  составления и предоставления бухгалтерской (финансовой) отчетности</w:t>
            </w:r>
          </w:p>
        </w:tc>
        <w:tc>
          <w:tcPr>
            <w:tcW w:w="438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19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14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1 290,97</w:t>
            </w:r>
          </w:p>
        </w:tc>
      </w:tr>
      <w:tr w:rsidR="00046BA5" w:rsidRPr="00046BA5" w:rsidTr="00BB5A4E">
        <w:trPr>
          <w:trHeight w:val="113"/>
        </w:trPr>
        <w:tc>
          <w:tcPr>
            <w:tcW w:w="250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0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438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19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14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5573,90</w:t>
            </w:r>
          </w:p>
        </w:tc>
      </w:tr>
      <w:tr w:rsidR="00046BA5" w:rsidRPr="00046BA5" w:rsidTr="00BB5A4E">
        <w:trPr>
          <w:trHeight w:val="113"/>
        </w:trPr>
        <w:tc>
          <w:tcPr>
            <w:tcW w:w="250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0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нарушения</w:t>
            </w:r>
          </w:p>
        </w:tc>
        <w:tc>
          <w:tcPr>
            <w:tcW w:w="438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19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4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sz w:val="20"/>
                <w:szCs w:val="20"/>
              </w:rPr>
              <w:t>454,83</w:t>
            </w:r>
          </w:p>
        </w:tc>
      </w:tr>
      <w:tr w:rsidR="00046BA5" w:rsidRPr="00046BA5" w:rsidTr="00BB5A4E">
        <w:trPr>
          <w:trHeight w:val="113"/>
        </w:trPr>
        <w:tc>
          <w:tcPr>
            <w:tcW w:w="2530" w:type="pct"/>
            <w:gridSpan w:val="2"/>
          </w:tcPr>
          <w:p w:rsidR="00046BA5" w:rsidRPr="00046BA5" w:rsidRDefault="00046BA5" w:rsidP="00046BA5">
            <w:pPr>
              <w:widowControl w:val="0"/>
              <w:tabs>
                <w:tab w:val="left" w:pos="-3366"/>
                <w:tab w:val="left" w:pos="17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Всего</w:t>
            </w:r>
          </w:p>
        </w:tc>
        <w:tc>
          <w:tcPr>
            <w:tcW w:w="438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422</w:t>
            </w:r>
          </w:p>
        </w:tc>
        <w:tc>
          <w:tcPr>
            <w:tcW w:w="1019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</w:t>
            </w:r>
          </w:p>
        </w:tc>
        <w:tc>
          <w:tcPr>
            <w:tcW w:w="1014" w:type="pct"/>
          </w:tcPr>
          <w:p w:rsidR="00046BA5" w:rsidRPr="00046BA5" w:rsidRDefault="00046BA5" w:rsidP="00046BA5">
            <w:pPr>
              <w:widowControl w:val="0"/>
              <w:tabs>
                <w:tab w:val="left" w:pos="-33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B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9 290,71</w:t>
            </w:r>
          </w:p>
        </w:tc>
      </w:tr>
    </w:tbl>
    <w:p w:rsidR="007D472E" w:rsidRDefault="007D472E" w:rsidP="003E6136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72E" w:rsidRDefault="00272B82" w:rsidP="00272B82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B82">
        <w:rPr>
          <w:rFonts w:ascii="Times New Roman" w:eastAsia="Times New Roman" w:hAnsi="Times New Roman" w:cs="Times New Roman"/>
          <w:sz w:val="28"/>
          <w:szCs w:val="28"/>
        </w:rPr>
        <w:t>Анализ вышеуказанных нарушений в количественном выражении показал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2B82">
        <w:rPr>
          <w:rFonts w:ascii="Times New Roman" w:eastAsia="Times New Roman" w:hAnsi="Times New Roman" w:cs="Times New Roman"/>
          <w:sz w:val="28"/>
          <w:szCs w:val="28"/>
        </w:rPr>
        <w:t>следующее:</w:t>
      </w:r>
    </w:p>
    <w:p w:rsidR="008427C0" w:rsidRPr="004161AE" w:rsidRDefault="00C10405" w:rsidP="008427C0">
      <w:pPr>
        <w:pStyle w:val="af0"/>
        <w:widowControl w:val="0"/>
        <w:numPr>
          <w:ilvl w:val="0"/>
          <w:numId w:val="4"/>
        </w:numPr>
        <w:tabs>
          <w:tab w:val="left" w:pos="-336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6BA5">
        <w:rPr>
          <w:rFonts w:ascii="Times New Roman" w:eastAsia="Times New Roman" w:hAnsi="Times New Roman" w:cs="Times New Roman"/>
          <w:b/>
          <w:i/>
          <w:sz w:val="28"/>
          <w:szCs w:val="28"/>
        </w:rPr>
        <w:t>6,7 % – нарушения при формиро</w:t>
      </w:r>
      <w:r w:rsidR="00D42A34">
        <w:rPr>
          <w:rFonts w:ascii="Times New Roman" w:eastAsia="Times New Roman" w:hAnsi="Times New Roman" w:cs="Times New Roman"/>
          <w:b/>
          <w:i/>
          <w:sz w:val="28"/>
          <w:szCs w:val="28"/>
        </w:rPr>
        <w:t>вании и исполнение бюджетов (28 </w:t>
      </w:r>
      <w:r w:rsidRPr="00046BA5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нарушений)</w:t>
      </w:r>
      <w:r w:rsidR="008427C0" w:rsidRPr="00046BA5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8427C0" w:rsidRPr="00046BA5">
        <w:rPr>
          <w:b/>
          <w:i/>
        </w:rPr>
        <w:t xml:space="preserve"> </w:t>
      </w:r>
      <w:r w:rsidR="008427C0" w:rsidRPr="00046BA5">
        <w:rPr>
          <w:rFonts w:ascii="Times New Roman" w:eastAsia="Times New Roman" w:hAnsi="Times New Roman" w:cs="Times New Roman"/>
          <w:sz w:val="28"/>
          <w:szCs w:val="28"/>
        </w:rPr>
        <w:t>основными из которых являются:</w:t>
      </w:r>
    </w:p>
    <w:p w:rsidR="004161AE" w:rsidRPr="003E6136" w:rsidRDefault="004161AE" w:rsidP="004161AE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416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136">
        <w:rPr>
          <w:rFonts w:ascii="Times New Roman" w:eastAsia="Times New Roman" w:hAnsi="Times New Roman" w:cs="Times New Roman"/>
          <w:sz w:val="28"/>
          <w:szCs w:val="28"/>
        </w:rPr>
        <w:t>нарушения порядка формирования и</w:t>
      </w:r>
      <w:r w:rsidR="002C6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136">
        <w:rPr>
          <w:rFonts w:ascii="Times New Roman" w:eastAsia="Times New Roman" w:hAnsi="Times New Roman" w:cs="Times New Roman"/>
          <w:sz w:val="28"/>
          <w:szCs w:val="28"/>
        </w:rPr>
        <w:t>(или) финансового обеспечения выполнения муниципального задания на оказание муниципальных услуг (выполнение работ) муниципальными учреждениями;</w:t>
      </w:r>
    </w:p>
    <w:p w:rsidR="003835F0" w:rsidRDefault="003835F0" w:rsidP="008427C0">
      <w:pPr>
        <w:pStyle w:val="af0"/>
        <w:widowControl w:val="0"/>
        <w:tabs>
          <w:tab w:val="left" w:pos="-336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35F0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835F0">
        <w:rPr>
          <w:rFonts w:ascii="Times New Roman" w:eastAsia="Times New Roman" w:hAnsi="Times New Roman" w:cs="Times New Roman"/>
          <w:sz w:val="28"/>
          <w:szCs w:val="28"/>
        </w:rPr>
        <w:t>арушени</w:t>
      </w:r>
      <w:r w:rsidR="001B1EF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835F0">
        <w:rPr>
          <w:rFonts w:ascii="Times New Roman" w:eastAsia="Times New Roman" w:hAnsi="Times New Roman" w:cs="Times New Roman"/>
          <w:sz w:val="28"/>
          <w:szCs w:val="28"/>
        </w:rPr>
        <w:t xml:space="preserve"> порядка определения объема и условий предоставления из бюджетов бюджетной системы Российской Федерации субсидий бюджетным учреждениям на иные цели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CFB" w:rsidRDefault="00FE4CFB" w:rsidP="008427C0">
      <w:pPr>
        <w:pStyle w:val="af0"/>
        <w:widowControl w:val="0"/>
        <w:tabs>
          <w:tab w:val="left" w:pos="-336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4CFB">
        <w:rPr>
          <w:rFonts w:ascii="Times New Roman" w:eastAsia="Times New Roman" w:hAnsi="Times New Roman" w:cs="Times New Roman"/>
          <w:sz w:val="28"/>
          <w:szCs w:val="28"/>
        </w:rPr>
        <w:t xml:space="preserve"> непредставление или представление с нарушением порядка и (или) сроков отчетности бюджетных учреждений;</w:t>
      </w:r>
    </w:p>
    <w:p w:rsidR="00C10405" w:rsidRDefault="0074617B" w:rsidP="008427C0">
      <w:pPr>
        <w:pStyle w:val="af0"/>
        <w:widowControl w:val="0"/>
        <w:tabs>
          <w:tab w:val="left" w:pos="-336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0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27C0" w:rsidRPr="007A3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1AE" w:rsidRPr="007A390B">
        <w:rPr>
          <w:rFonts w:ascii="Times New Roman" w:eastAsia="Times New Roman" w:hAnsi="Times New Roman" w:cs="Times New Roman"/>
          <w:sz w:val="28"/>
          <w:szCs w:val="28"/>
        </w:rPr>
        <w:t>нарушения порядка составления и предоставления отчета об исполнении местного бюджета</w:t>
      </w:r>
      <w:r w:rsidR="008427C0" w:rsidRPr="007A390B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8427C0" w:rsidRPr="000922A8" w:rsidRDefault="008427C0" w:rsidP="008427C0">
      <w:pPr>
        <w:pStyle w:val="af0"/>
        <w:widowControl w:val="0"/>
        <w:tabs>
          <w:tab w:val="left" w:pos="-3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405" w:rsidRDefault="00C10405" w:rsidP="00C10405">
      <w:pPr>
        <w:pStyle w:val="af0"/>
        <w:widowControl w:val="0"/>
        <w:numPr>
          <w:ilvl w:val="0"/>
          <w:numId w:val="4"/>
        </w:numPr>
        <w:tabs>
          <w:tab w:val="left" w:pos="-336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7D2">
        <w:rPr>
          <w:rFonts w:ascii="Times New Roman" w:eastAsia="Times New Roman" w:hAnsi="Times New Roman" w:cs="Times New Roman"/>
          <w:b/>
          <w:i/>
          <w:sz w:val="28"/>
          <w:szCs w:val="28"/>
        </w:rPr>
        <w:t>45,0 % –</w:t>
      </w:r>
      <w:r w:rsidRPr="00092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BA5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нарушения ведения бухгалтерского учета,  составления и предоставления бухгалтерск</w:t>
      </w:r>
      <w:r w:rsidR="00D42A34">
        <w:rPr>
          <w:rFonts w:ascii="Times New Roman" w:eastAsia="Times New Roman" w:hAnsi="Times New Roman" w:cs="Times New Roman"/>
          <w:b/>
          <w:i/>
          <w:sz w:val="28"/>
          <w:szCs w:val="28"/>
        </w:rPr>
        <w:t>ой (финансовой) отчетности (190 </w:t>
      </w:r>
      <w:r w:rsidRPr="00046BA5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нарушений)</w:t>
      </w:r>
      <w:r w:rsidR="00046B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6BA5" w:rsidRPr="00046BA5">
        <w:rPr>
          <w:rFonts w:ascii="Times New Roman" w:eastAsia="Times New Roman" w:hAnsi="Times New Roman" w:cs="Times New Roman"/>
          <w:sz w:val="28"/>
          <w:szCs w:val="28"/>
        </w:rPr>
        <w:t>основными из которых являются:</w:t>
      </w:r>
    </w:p>
    <w:p w:rsidR="001B1EF3" w:rsidRPr="00D42A34" w:rsidRDefault="00D42A34" w:rsidP="00D42A34">
      <w:pPr>
        <w:widowControl w:val="0"/>
        <w:tabs>
          <w:tab w:val="left" w:pos="-3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B1EF3" w:rsidRPr="00D42A34">
        <w:rPr>
          <w:rFonts w:ascii="Times New Roman" w:eastAsia="Times New Roman" w:hAnsi="Times New Roman" w:cs="Times New Roman"/>
          <w:sz w:val="28"/>
          <w:szCs w:val="28"/>
        </w:rPr>
        <w:t xml:space="preserve">- нарушения требований, предъявляемых к применению правил ведения </w:t>
      </w:r>
      <w:r w:rsidR="00157628" w:rsidRPr="00D42A34">
        <w:rPr>
          <w:rFonts w:ascii="Times New Roman" w:eastAsia="Times New Roman" w:hAnsi="Times New Roman" w:cs="Times New Roman"/>
          <w:sz w:val="28"/>
          <w:szCs w:val="28"/>
        </w:rPr>
        <w:t>бюджетного (</w:t>
      </w:r>
      <w:r w:rsidR="001B1EF3" w:rsidRPr="00D42A34">
        <w:rPr>
          <w:rFonts w:ascii="Times New Roman" w:eastAsia="Times New Roman" w:hAnsi="Times New Roman" w:cs="Times New Roman"/>
          <w:sz w:val="28"/>
          <w:szCs w:val="28"/>
        </w:rPr>
        <w:t>бухгалтерского</w:t>
      </w:r>
      <w:r w:rsidR="00157628" w:rsidRPr="00D42A3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B1EF3" w:rsidRPr="00D42A34">
        <w:rPr>
          <w:rFonts w:ascii="Times New Roman" w:eastAsia="Times New Roman" w:hAnsi="Times New Roman" w:cs="Times New Roman"/>
          <w:sz w:val="28"/>
          <w:szCs w:val="28"/>
        </w:rPr>
        <w:t xml:space="preserve"> учета;</w:t>
      </w:r>
    </w:p>
    <w:p w:rsidR="004161AE" w:rsidRDefault="004161AE" w:rsidP="001B1EF3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1FB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F1FBC" w:rsidRPr="001F1FBC">
        <w:rPr>
          <w:rFonts w:ascii="Times New Roman" w:eastAsia="Times New Roman" w:hAnsi="Times New Roman" w:cs="Times New Roman"/>
          <w:sz w:val="28"/>
          <w:szCs w:val="28"/>
        </w:rPr>
        <w:t>арушения оформления и применения первичных учетных документов</w:t>
      </w:r>
      <w:r w:rsidRPr="004161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27C0" w:rsidRDefault="001477D2" w:rsidP="001B1EF3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379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477D2">
        <w:rPr>
          <w:rFonts w:ascii="Times New Roman" w:eastAsia="Times New Roman" w:hAnsi="Times New Roman" w:cs="Times New Roman"/>
          <w:sz w:val="28"/>
          <w:szCs w:val="28"/>
        </w:rPr>
        <w:t xml:space="preserve">арушения </w:t>
      </w:r>
      <w:r w:rsidR="001B1EF3" w:rsidRPr="001B1EF3">
        <w:rPr>
          <w:rFonts w:ascii="Times New Roman" w:eastAsia="Times New Roman" w:hAnsi="Times New Roman" w:cs="Times New Roman"/>
          <w:sz w:val="28"/>
          <w:szCs w:val="28"/>
        </w:rPr>
        <w:t xml:space="preserve">общих требований к бухгалтерской (финансовой) отчетности экономического субъекта, в том числе к ее составу </w:t>
      </w:r>
      <w:r w:rsidR="004161AE" w:rsidRPr="004161AE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8427C0" w:rsidRDefault="008427C0" w:rsidP="008427C0">
      <w:pPr>
        <w:widowControl w:val="0"/>
        <w:tabs>
          <w:tab w:val="left" w:pos="-33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BA5" w:rsidRDefault="00C10405" w:rsidP="001B1EF3">
      <w:pPr>
        <w:pStyle w:val="af0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BA5">
        <w:rPr>
          <w:rFonts w:ascii="Times New Roman" w:eastAsia="Times New Roman" w:hAnsi="Times New Roman" w:cs="Times New Roman"/>
          <w:b/>
          <w:i/>
          <w:sz w:val="28"/>
          <w:szCs w:val="28"/>
        </w:rPr>
        <w:t>15,4</w:t>
      </w:r>
      <w:r w:rsidR="00DB2F18" w:rsidRPr="00046B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% – </w:t>
      </w:r>
      <w:r w:rsidR="000922A8" w:rsidRPr="00046B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нарушения </w:t>
      </w:r>
      <w:r w:rsidRPr="00046BA5">
        <w:rPr>
          <w:rFonts w:ascii="Times New Roman" w:eastAsia="Times New Roman" w:hAnsi="Times New Roman" w:cs="Times New Roman"/>
          <w:b/>
          <w:i/>
          <w:sz w:val="28"/>
          <w:szCs w:val="28"/>
        </w:rPr>
        <w:t>при осуществлении муниципальных закупок и закупок отдельными видами юридических лиц</w:t>
      </w:r>
      <w:r w:rsidR="000922A8" w:rsidRPr="00046B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Pr="00046BA5">
        <w:rPr>
          <w:rFonts w:ascii="Times New Roman" w:eastAsia="Times New Roman" w:hAnsi="Times New Roman" w:cs="Times New Roman"/>
          <w:b/>
          <w:i/>
          <w:sz w:val="28"/>
          <w:szCs w:val="28"/>
        </w:rPr>
        <w:t>65</w:t>
      </w:r>
      <w:r w:rsidR="000922A8" w:rsidRPr="00046BA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нарушений)</w:t>
      </w:r>
      <w:r w:rsidR="00046B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46BA5" w:rsidRPr="00046BA5">
        <w:t xml:space="preserve"> </w:t>
      </w:r>
      <w:r w:rsidR="00046BA5" w:rsidRPr="00046BA5">
        <w:rPr>
          <w:rFonts w:ascii="Times New Roman" w:eastAsia="Times New Roman" w:hAnsi="Times New Roman" w:cs="Times New Roman"/>
          <w:sz w:val="28"/>
          <w:szCs w:val="28"/>
        </w:rPr>
        <w:t>основными из которых являются:</w:t>
      </w:r>
    </w:p>
    <w:p w:rsidR="00247C72" w:rsidRPr="007A390B" w:rsidRDefault="00D42A34" w:rsidP="00D42A34">
      <w:pPr>
        <w:pStyle w:val="af0"/>
        <w:widowControl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577137" w:rsidRPr="007A390B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непредставление, несвоевременное представление информации (сведений) </w:t>
      </w:r>
      <w:proofErr w:type="gramStart"/>
      <w:r w:rsidR="00577137" w:rsidRPr="007A390B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577137" w:rsidRPr="007A390B">
        <w:rPr>
          <w:rFonts w:ascii="Times New Roman" w:eastAsia="Times New Roman" w:hAnsi="Times New Roman" w:cs="Times New Roman"/>
          <w:sz w:val="28"/>
          <w:szCs w:val="28"/>
        </w:rPr>
        <w:t xml:space="preserve">или) документов, подлежащих включению в реестр контрактов, </w:t>
      </w:r>
      <w:r w:rsidR="00247C72" w:rsidRPr="007A390B">
        <w:rPr>
          <w:rFonts w:ascii="Times New Roman" w:eastAsia="Times New Roman" w:hAnsi="Times New Roman" w:cs="Times New Roman"/>
          <w:sz w:val="28"/>
          <w:szCs w:val="28"/>
        </w:rPr>
        <w:t>заключенных заказчиками;</w:t>
      </w:r>
    </w:p>
    <w:p w:rsidR="00247C72" w:rsidRPr="007A390B" w:rsidRDefault="00247C72" w:rsidP="00D42A34">
      <w:pPr>
        <w:pStyle w:val="af0"/>
        <w:spacing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B43" w:rsidRPr="007A390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7A390B">
        <w:rPr>
          <w:rFonts w:ascii="Times New Roman" w:eastAsia="Times New Roman" w:hAnsi="Times New Roman" w:cs="Times New Roman"/>
          <w:sz w:val="28"/>
          <w:szCs w:val="28"/>
        </w:rPr>
        <w:t>включение в контракт (договор) обязательных условий;</w:t>
      </w:r>
    </w:p>
    <w:p w:rsidR="00247C72" w:rsidRPr="007A390B" w:rsidRDefault="00247C72" w:rsidP="00D42A34">
      <w:pPr>
        <w:pStyle w:val="af0"/>
        <w:spacing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6B7B43" w:rsidRPr="007A390B"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 w:rsidRPr="007A390B">
        <w:rPr>
          <w:rFonts w:ascii="Times New Roman" w:eastAsia="Times New Roman" w:hAnsi="Times New Roman" w:cs="Times New Roman"/>
          <w:sz w:val="28"/>
          <w:szCs w:val="28"/>
        </w:rPr>
        <w:t>контрактов до размещения в ЕИС плана-графика закупок;</w:t>
      </w:r>
    </w:p>
    <w:p w:rsidR="00577137" w:rsidRPr="007A390B" w:rsidRDefault="00577137" w:rsidP="00D42A34">
      <w:pPr>
        <w:pStyle w:val="af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90B">
        <w:rPr>
          <w:rFonts w:ascii="Times New Roman" w:eastAsia="Times New Roman" w:hAnsi="Times New Roman" w:cs="Times New Roman"/>
          <w:sz w:val="28"/>
          <w:szCs w:val="28"/>
        </w:rPr>
        <w:t xml:space="preserve">- внесение изменений в контракт (договор) с нарушением требований, </w:t>
      </w:r>
      <w:r w:rsidR="006B7B43" w:rsidRPr="007A390B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законодательством.</w:t>
      </w:r>
    </w:p>
    <w:p w:rsidR="001B1EF3" w:rsidRDefault="001B1EF3" w:rsidP="001B1EF3">
      <w:pPr>
        <w:pStyle w:val="af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5F0" w:rsidRDefault="00C10405" w:rsidP="001B1EF3">
      <w:pPr>
        <w:pStyle w:val="af0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4E">
        <w:rPr>
          <w:rFonts w:ascii="Times New Roman" w:eastAsia="Times New Roman" w:hAnsi="Times New Roman" w:cs="Times New Roman"/>
          <w:b/>
          <w:sz w:val="28"/>
          <w:szCs w:val="28"/>
        </w:rPr>
        <w:t>32,9</w:t>
      </w:r>
      <w:r w:rsidR="00DB2F18" w:rsidRPr="00BB5A4E">
        <w:rPr>
          <w:rFonts w:ascii="Times New Roman" w:eastAsia="Times New Roman" w:hAnsi="Times New Roman" w:cs="Times New Roman"/>
          <w:b/>
          <w:sz w:val="28"/>
          <w:szCs w:val="28"/>
        </w:rPr>
        <w:t xml:space="preserve"> % – </w:t>
      </w:r>
      <w:r w:rsidRPr="00BB5A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иные </w:t>
      </w:r>
      <w:r w:rsidR="00DB2F18" w:rsidRPr="00BB5A4E">
        <w:rPr>
          <w:rFonts w:ascii="Times New Roman" w:eastAsia="Times New Roman" w:hAnsi="Times New Roman" w:cs="Times New Roman"/>
          <w:b/>
          <w:sz w:val="28"/>
          <w:szCs w:val="28"/>
        </w:rPr>
        <w:t>нарушения (</w:t>
      </w:r>
      <w:r w:rsidRPr="00BB5A4E">
        <w:rPr>
          <w:rFonts w:ascii="Times New Roman" w:eastAsia="Times New Roman" w:hAnsi="Times New Roman" w:cs="Times New Roman"/>
          <w:b/>
          <w:sz w:val="28"/>
          <w:szCs w:val="28"/>
        </w:rPr>
        <w:t>139 нарушений</w:t>
      </w:r>
      <w:r w:rsidR="00DB2F18" w:rsidRPr="00BB5A4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BB5A4E" w:rsidRPr="00BB5A4E">
        <w:rPr>
          <w:rFonts w:ascii="Times New Roman" w:hAnsi="Times New Roman" w:cs="Times New Roman"/>
        </w:rPr>
        <w:t>,</w:t>
      </w:r>
      <w:r w:rsidR="003835F0" w:rsidRPr="003835F0">
        <w:t xml:space="preserve"> </w:t>
      </w:r>
      <w:r w:rsidR="003835F0" w:rsidRPr="003835F0">
        <w:rPr>
          <w:rFonts w:ascii="Times New Roman" w:eastAsia="Times New Roman" w:hAnsi="Times New Roman" w:cs="Times New Roman"/>
          <w:sz w:val="28"/>
          <w:szCs w:val="28"/>
        </w:rPr>
        <w:t xml:space="preserve">основными из которых </w:t>
      </w:r>
      <w:r w:rsidR="001B1EF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35F0" w:rsidRPr="003835F0">
        <w:rPr>
          <w:rFonts w:ascii="Times New Roman" w:eastAsia="Times New Roman" w:hAnsi="Times New Roman" w:cs="Times New Roman"/>
          <w:sz w:val="28"/>
          <w:szCs w:val="28"/>
        </w:rPr>
        <w:t>вляются:</w:t>
      </w:r>
    </w:p>
    <w:p w:rsidR="001B1EF3" w:rsidRPr="001B1EF3" w:rsidRDefault="001B1EF3" w:rsidP="001B1EF3">
      <w:pPr>
        <w:pStyle w:val="af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399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1EF3">
        <w:rPr>
          <w:rFonts w:ascii="Times New Roman" w:eastAsia="Times New Roman" w:hAnsi="Times New Roman" w:cs="Times New Roman"/>
          <w:sz w:val="28"/>
          <w:szCs w:val="28"/>
        </w:rPr>
        <w:t>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B1EF3">
        <w:rPr>
          <w:rFonts w:ascii="Times New Roman" w:eastAsia="Times New Roman" w:hAnsi="Times New Roman" w:cs="Times New Roman"/>
          <w:sz w:val="28"/>
          <w:szCs w:val="28"/>
        </w:rPr>
        <w:t xml:space="preserve"> порядка и условий оплаты труда работников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бюджетных </w:t>
      </w:r>
      <w:r w:rsidRPr="001B1EF3">
        <w:rPr>
          <w:rFonts w:ascii="Times New Roman" w:eastAsia="Times New Roman" w:hAnsi="Times New Roman" w:cs="Times New Roman"/>
          <w:sz w:val="28"/>
          <w:szCs w:val="28"/>
        </w:rPr>
        <w:t xml:space="preserve"> учреждений;</w:t>
      </w:r>
    </w:p>
    <w:p w:rsidR="001B1EF3" w:rsidRPr="001B1EF3" w:rsidRDefault="001B1EF3" w:rsidP="001B1EF3">
      <w:pPr>
        <w:pStyle w:val="af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EF3">
        <w:rPr>
          <w:rFonts w:ascii="Times New Roman" w:eastAsia="Times New Roman" w:hAnsi="Times New Roman" w:cs="Times New Roman"/>
          <w:sz w:val="28"/>
          <w:szCs w:val="28"/>
        </w:rPr>
        <w:t>- нарушения порядка распоряжения имуществом бюджетных 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7D472E" w:rsidRDefault="00A74F20" w:rsidP="00A74F20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4F20">
        <w:rPr>
          <w:rFonts w:ascii="Times New Roman" w:eastAsia="Times New Roman" w:hAnsi="Times New Roman" w:cs="Times New Roman"/>
          <w:sz w:val="28"/>
          <w:szCs w:val="28"/>
        </w:rPr>
        <w:t>Выявленные в отчетном периоде нарушения, недостатки, а также их последствия отражены в отчетах и заключениях Контрольно-счетной комиссии, которые были направлены в адрес главы Грачевского муниципального округа Ставропольского края и председателя Совета Грачевского муниципального округа Ставропольского края.</w:t>
      </w:r>
      <w:proofErr w:type="gramEnd"/>
    </w:p>
    <w:p w:rsidR="00A74F20" w:rsidRPr="00A74F20" w:rsidRDefault="00163997" w:rsidP="00A74F20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B43">
        <w:rPr>
          <w:rFonts w:ascii="Times New Roman" w:eastAsia="Times New Roman" w:hAnsi="Times New Roman" w:cs="Times New Roman"/>
          <w:sz w:val="28"/>
          <w:szCs w:val="28"/>
        </w:rPr>
        <w:t>106</w:t>
      </w:r>
      <w:r w:rsidR="00A74F20" w:rsidRPr="006B7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F20" w:rsidRPr="00A74F20">
        <w:rPr>
          <w:rFonts w:ascii="Times New Roman" w:eastAsia="Times New Roman" w:hAnsi="Times New Roman" w:cs="Times New Roman"/>
          <w:sz w:val="28"/>
          <w:szCs w:val="28"/>
        </w:rPr>
        <w:t>предложени</w:t>
      </w:r>
      <w:r w:rsidR="00A74F20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7B43">
        <w:rPr>
          <w:rFonts w:ascii="Times New Roman" w:eastAsia="Times New Roman" w:hAnsi="Times New Roman" w:cs="Times New Roman"/>
          <w:sz w:val="28"/>
          <w:szCs w:val="28"/>
        </w:rPr>
        <w:t>и рекомендаций</w:t>
      </w:r>
      <w:r w:rsidR="00A74F20" w:rsidRPr="00A74F20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подготовлено Контрольно-счетной комиссией в адрес объектов контроля и органов местного самоуправления Грачевского муниципального округа Ставропольского края по итогам проведенных в 2021 году мероприятий. Все они изложены в отчетах и заключениях Контрольно-счетной комиссией. В их числе предложения по устранению выявленных нарушений и недостатков, повышению эффективности управления муниципальными ресурсами Грачевского муниципального округа Ставропольского края и их использования, совершенствованию бюджетного процесса и организации взаимодействия профильных структурных подразделений администрации Грачевского муниципального округа Ставропольского края.</w:t>
      </w:r>
    </w:p>
    <w:p w:rsidR="00A74F20" w:rsidRDefault="00A74F20" w:rsidP="00A74F20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20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="001D7FAC" w:rsidRPr="001D7FAC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1D7FAC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1D7FAC" w:rsidRPr="001D7FAC">
        <w:rPr>
          <w:rFonts w:ascii="Times New Roman" w:eastAsia="Times New Roman" w:hAnsi="Times New Roman" w:cs="Times New Roman"/>
          <w:sz w:val="28"/>
          <w:szCs w:val="28"/>
        </w:rPr>
        <w:t xml:space="preserve"> контроля Контрольно-счетной комиссией </w:t>
      </w:r>
      <w:r w:rsidR="001D7FA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4F20">
        <w:rPr>
          <w:rFonts w:ascii="Times New Roman" w:eastAsia="Times New Roman" w:hAnsi="Times New Roman" w:cs="Times New Roman"/>
          <w:sz w:val="28"/>
          <w:szCs w:val="28"/>
        </w:rPr>
        <w:t xml:space="preserve">аправлено </w:t>
      </w:r>
      <w:r w:rsidR="001D7FA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74F2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об устранении выявленных нарушений и недостатков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A4E" w:rsidRDefault="00BB5A4E" w:rsidP="00FE3338">
      <w:pPr>
        <w:widowControl w:val="0"/>
        <w:tabs>
          <w:tab w:val="left" w:pos="-33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3338" w:rsidRDefault="00FE3338" w:rsidP="00FE3338">
      <w:pPr>
        <w:widowControl w:val="0"/>
        <w:tabs>
          <w:tab w:val="left" w:pos="-33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338">
        <w:rPr>
          <w:rFonts w:ascii="Times New Roman" w:eastAsia="Times New Roman" w:hAnsi="Times New Roman" w:cs="Times New Roman"/>
          <w:i/>
          <w:sz w:val="28"/>
          <w:szCs w:val="28"/>
        </w:rPr>
        <w:t>Реализация результатов мероприятий</w:t>
      </w:r>
    </w:p>
    <w:p w:rsidR="001D7FAC" w:rsidRPr="00FE3338" w:rsidRDefault="001D7FAC" w:rsidP="00FE3338">
      <w:pPr>
        <w:widowControl w:val="0"/>
        <w:tabs>
          <w:tab w:val="left" w:pos="-336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3338" w:rsidRDefault="00FE3338" w:rsidP="00FE3338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338">
        <w:rPr>
          <w:rFonts w:ascii="Times New Roman" w:eastAsia="Times New Roman" w:hAnsi="Times New Roman" w:cs="Times New Roman"/>
          <w:sz w:val="28"/>
          <w:szCs w:val="28"/>
        </w:rPr>
        <w:t>Большое внимание в деятельности Контрольно-счетной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3338">
        <w:rPr>
          <w:rFonts w:ascii="Times New Roman" w:eastAsia="Times New Roman" w:hAnsi="Times New Roman" w:cs="Times New Roman"/>
          <w:sz w:val="28"/>
          <w:szCs w:val="28"/>
        </w:rPr>
        <w:t xml:space="preserve"> уделяется </w:t>
      </w:r>
      <w:proofErr w:type="gramStart"/>
      <w:r w:rsidRPr="00FE3338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FE3338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предложений, подготовленных по результатам проведенных мероприятий. </w:t>
      </w:r>
    </w:p>
    <w:p w:rsidR="00AE2DA1" w:rsidRDefault="009445FB" w:rsidP="009445FB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FB">
        <w:rPr>
          <w:rFonts w:ascii="Times New Roman" w:eastAsia="Times New Roman" w:hAnsi="Times New Roman" w:cs="Times New Roman"/>
          <w:sz w:val="28"/>
          <w:szCs w:val="28"/>
        </w:rPr>
        <w:t xml:space="preserve">В 2021 году объектами контроля </w:t>
      </w:r>
      <w:r w:rsidR="00AE2DA1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сроки </w:t>
      </w:r>
      <w:r w:rsidR="00AE2DA1" w:rsidRPr="00AE2DA1"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="00AE2D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2DA1" w:rsidRPr="00AE2DA1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AE2D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E2DA1" w:rsidRPr="00AE2DA1">
        <w:rPr>
          <w:rFonts w:ascii="Times New Roman" w:eastAsia="Times New Roman" w:hAnsi="Times New Roman" w:cs="Times New Roman"/>
          <w:sz w:val="28"/>
          <w:szCs w:val="28"/>
        </w:rPr>
        <w:t xml:space="preserve"> о принятых мерах с приложением материалов, подтверждающих устранение (исполнение)</w:t>
      </w:r>
      <w:r w:rsidR="00AE2DA1" w:rsidRPr="00AE2DA1">
        <w:t xml:space="preserve"> </w:t>
      </w:r>
      <w:r w:rsidR="00AE2DA1" w:rsidRPr="00AE2DA1">
        <w:rPr>
          <w:rFonts w:ascii="Times New Roman" w:eastAsia="Times New Roman" w:hAnsi="Times New Roman" w:cs="Times New Roman"/>
          <w:sz w:val="28"/>
          <w:szCs w:val="28"/>
        </w:rPr>
        <w:t>выявленных нарушений и недостатков</w:t>
      </w:r>
      <w:r w:rsidRPr="009445FB">
        <w:t xml:space="preserve"> </w:t>
      </w:r>
      <w:r w:rsidRPr="009445F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контрольных и экспертно-аналитических мероприятий</w:t>
      </w:r>
      <w:r w:rsidR="00FE7F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DA1" w:rsidRPr="00AE2DA1" w:rsidRDefault="00AE2DA1" w:rsidP="00AE2DA1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A1">
        <w:rPr>
          <w:rFonts w:ascii="Times New Roman" w:eastAsia="Times New Roman" w:hAnsi="Times New Roman" w:cs="Times New Roman"/>
          <w:sz w:val="28"/>
          <w:szCs w:val="28"/>
        </w:rPr>
        <w:t>По итогам за 2021 год</w:t>
      </w:r>
      <w:r w:rsidRPr="00AE2DA1">
        <w:t xml:space="preserve"> </w:t>
      </w:r>
      <w:r w:rsidRPr="00AE2DA1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1927D5" w:rsidRPr="001927D5">
        <w:t xml:space="preserve"> </w:t>
      </w:r>
      <w:r w:rsidR="001927D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27D5" w:rsidRPr="001927D5">
        <w:rPr>
          <w:rFonts w:ascii="Times New Roman" w:eastAsia="Times New Roman" w:hAnsi="Times New Roman" w:cs="Times New Roman"/>
          <w:sz w:val="28"/>
          <w:szCs w:val="28"/>
        </w:rPr>
        <w:t>бъектами контроля</w:t>
      </w:r>
      <w:r w:rsidRPr="00AE2D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2DA1" w:rsidRDefault="00FE7F02" w:rsidP="00FE7F02">
      <w:pPr>
        <w:widowControl w:val="0"/>
        <w:tabs>
          <w:tab w:val="left" w:pos="-336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7F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E2DA1" w:rsidRPr="00FE7F02">
        <w:rPr>
          <w:rFonts w:ascii="Times New Roman" w:eastAsia="Times New Roman" w:hAnsi="Times New Roman" w:cs="Times New Roman"/>
          <w:sz w:val="28"/>
          <w:szCs w:val="28"/>
        </w:rPr>
        <w:t>устранено:</w:t>
      </w:r>
    </w:p>
    <w:p w:rsidR="00FE7F02" w:rsidRPr="008048DB" w:rsidRDefault="002B1158" w:rsidP="00FE7F02">
      <w:pPr>
        <w:widowControl w:val="0"/>
        <w:tabs>
          <w:tab w:val="left" w:pos="-336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A7753">
        <w:rPr>
          <w:rFonts w:ascii="Times New Roman" w:eastAsia="Times New Roman" w:hAnsi="Times New Roman" w:cs="Times New Roman"/>
          <w:sz w:val="28"/>
          <w:szCs w:val="28"/>
        </w:rPr>
        <w:t>151</w:t>
      </w:r>
      <w:r w:rsidR="00294F6F" w:rsidRPr="00FA7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308" w:rsidRPr="00FA7753">
        <w:rPr>
          <w:rFonts w:ascii="Times New Roman" w:eastAsia="Times New Roman" w:hAnsi="Times New Roman" w:cs="Times New Roman"/>
          <w:sz w:val="28"/>
          <w:szCs w:val="28"/>
        </w:rPr>
        <w:t>факт</w:t>
      </w:r>
      <w:r w:rsidR="008D4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F6F" w:rsidRPr="008048DB"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  <w:r w:rsidR="00294F6F" w:rsidRPr="00BC6746">
        <w:rPr>
          <w:rFonts w:ascii="Times New Roman" w:eastAsia="Times New Roman" w:hAnsi="Times New Roman" w:cs="Times New Roman"/>
          <w:sz w:val="28"/>
          <w:szCs w:val="28"/>
        </w:rPr>
        <w:t>и  недостатк</w:t>
      </w:r>
      <w:r w:rsidR="00BC674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E7F02" w:rsidRPr="00BC67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7F02" w:rsidRPr="00FE7F02" w:rsidRDefault="00FE7F02" w:rsidP="00FE7F02">
      <w:pPr>
        <w:widowControl w:val="0"/>
        <w:tabs>
          <w:tab w:val="left" w:pos="-336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8DB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8048DB">
        <w:t xml:space="preserve"> </w:t>
      </w:r>
      <w:r w:rsidRPr="008048DB">
        <w:rPr>
          <w:rFonts w:ascii="Times New Roman" w:eastAsia="Times New Roman" w:hAnsi="Times New Roman" w:cs="Times New Roman"/>
          <w:sz w:val="28"/>
          <w:szCs w:val="28"/>
        </w:rPr>
        <w:t xml:space="preserve">исполнено </w:t>
      </w:r>
      <w:r w:rsidR="008048DB" w:rsidRPr="008048DB">
        <w:rPr>
          <w:rFonts w:ascii="Times New Roman" w:eastAsia="Times New Roman" w:hAnsi="Times New Roman" w:cs="Times New Roman"/>
          <w:sz w:val="28"/>
          <w:szCs w:val="28"/>
        </w:rPr>
        <w:t>82 рекомендации и 21</w:t>
      </w:r>
      <w:r w:rsidRPr="008048DB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8048DB" w:rsidRPr="008048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48DB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комиссии</w:t>
      </w:r>
      <w:r w:rsidR="008048DB" w:rsidRPr="00804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54D" w:rsidRDefault="008D654D" w:rsidP="008D654D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654D">
        <w:rPr>
          <w:rFonts w:ascii="Times New Roman" w:eastAsia="Times New Roman" w:hAnsi="Times New Roman" w:cs="Times New Roman"/>
          <w:sz w:val="28"/>
          <w:szCs w:val="28"/>
        </w:rPr>
        <w:t xml:space="preserve"> отчетном периоде</w:t>
      </w:r>
      <w:r w:rsidR="005335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6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D654D">
        <w:rPr>
          <w:rFonts w:ascii="Times New Roman" w:eastAsia="Times New Roman" w:hAnsi="Times New Roman" w:cs="Times New Roman"/>
          <w:sz w:val="28"/>
          <w:szCs w:val="28"/>
        </w:rPr>
        <w:t>а основани</w:t>
      </w:r>
      <w:r w:rsidR="005335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654D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Контрольно-счетной комиссии принят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2B8" w:rsidRPr="0081775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654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 w:rsidR="0081775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D654D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 w:rsidR="00817754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D654D">
        <w:rPr>
          <w:rFonts w:ascii="Times New Roman" w:eastAsia="Times New Roman" w:hAnsi="Times New Roman" w:cs="Times New Roman"/>
          <w:sz w:val="28"/>
          <w:szCs w:val="28"/>
        </w:rPr>
        <w:t xml:space="preserve"> акт Грачевского муниципального округа Ставропольского края (далее – МПА), внесены изменения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654D">
        <w:rPr>
          <w:rFonts w:ascii="Times New Roman" w:eastAsia="Times New Roman" w:hAnsi="Times New Roman" w:cs="Times New Roman"/>
          <w:sz w:val="28"/>
          <w:szCs w:val="28"/>
        </w:rPr>
        <w:t xml:space="preserve"> ранее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8D654D">
        <w:rPr>
          <w:rFonts w:ascii="Times New Roman" w:eastAsia="Times New Roman" w:hAnsi="Times New Roman" w:cs="Times New Roman"/>
          <w:sz w:val="28"/>
          <w:szCs w:val="28"/>
        </w:rPr>
        <w:t>МПА</w:t>
      </w:r>
      <w:r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8D654D">
        <w:rPr>
          <w:rFonts w:ascii="Times New Roman" w:eastAsia="Times New Roman" w:hAnsi="Times New Roman" w:cs="Times New Roman"/>
          <w:sz w:val="28"/>
          <w:szCs w:val="28"/>
        </w:rPr>
        <w:t xml:space="preserve">риняты </w:t>
      </w:r>
      <w:r w:rsidR="004572B8" w:rsidRPr="0081775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654D">
        <w:rPr>
          <w:rFonts w:ascii="Times New Roman" w:eastAsia="Times New Roman" w:hAnsi="Times New Roman" w:cs="Times New Roman"/>
          <w:sz w:val="28"/>
          <w:szCs w:val="28"/>
        </w:rPr>
        <w:t xml:space="preserve"> локальных нормативных акта</w:t>
      </w:r>
      <w:r w:rsidRPr="00817754">
        <w:rPr>
          <w:rFonts w:ascii="Times New Roman" w:eastAsia="Times New Roman" w:hAnsi="Times New Roman" w:cs="Times New Roman"/>
          <w:sz w:val="28"/>
          <w:szCs w:val="28"/>
        </w:rPr>
        <w:t xml:space="preserve"> объектов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654D">
        <w:rPr>
          <w:rFonts w:ascii="Times New Roman" w:eastAsia="Times New Roman" w:hAnsi="Times New Roman" w:cs="Times New Roman"/>
          <w:sz w:val="28"/>
          <w:szCs w:val="28"/>
        </w:rPr>
        <w:t>и в 1 внесены изменения.</w:t>
      </w:r>
    </w:p>
    <w:p w:rsidR="001D7FAC" w:rsidRDefault="001D7FAC" w:rsidP="00FE3338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FAC">
        <w:rPr>
          <w:rFonts w:ascii="Times New Roman" w:eastAsia="Times New Roman" w:hAnsi="Times New Roman" w:cs="Times New Roman"/>
          <w:sz w:val="28"/>
          <w:szCs w:val="28"/>
        </w:rPr>
        <w:t>По результатам мероприятий Контрольно-счетной комиссии</w:t>
      </w:r>
      <w:r w:rsidR="00FE4CFB" w:rsidRPr="00FE4CFB">
        <w:t xml:space="preserve"> </w:t>
      </w:r>
      <w:r w:rsidR="00FE4CFB" w:rsidRPr="00FE4CFB">
        <w:rPr>
          <w:rFonts w:ascii="Times New Roman" w:eastAsia="Times New Roman" w:hAnsi="Times New Roman" w:cs="Times New Roman"/>
          <w:sz w:val="28"/>
          <w:szCs w:val="28"/>
        </w:rPr>
        <w:t>за ненадлежащее исполнение должностных обязанностей, в том числе повлекшее нарушение действующего законодательства и неэффективное использование бюджетных средств</w:t>
      </w:r>
      <w:r w:rsidRPr="001D7FAC">
        <w:rPr>
          <w:rFonts w:ascii="Times New Roman" w:eastAsia="Times New Roman" w:hAnsi="Times New Roman" w:cs="Times New Roman"/>
          <w:sz w:val="28"/>
          <w:szCs w:val="28"/>
        </w:rPr>
        <w:t xml:space="preserve"> меры дисциплинарной ответственности применены в отношении 4 должностных лиц.</w:t>
      </w:r>
    </w:p>
    <w:p w:rsidR="001D7FAC" w:rsidRDefault="001D7FAC" w:rsidP="001D7FAC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FAC">
        <w:rPr>
          <w:rFonts w:ascii="Times New Roman" w:eastAsia="Times New Roman" w:hAnsi="Times New Roman" w:cs="Times New Roman"/>
          <w:sz w:val="28"/>
          <w:szCs w:val="28"/>
        </w:rPr>
        <w:t>В 2021 году в прокуратуру Грачевского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Pr="001D7FAC">
        <w:rPr>
          <w:rFonts w:ascii="Times New Roman" w:eastAsia="Times New Roman" w:hAnsi="Times New Roman" w:cs="Times New Roman"/>
          <w:sz w:val="28"/>
          <w:szCs w:val="28"/>
        </w:rPr>
        <w:t>для принятия предусмотренных законодательством мер реагирования направлено 4 материала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FAC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472E" w:rsidRDefault="007D472E" w:rsidP="003E6136">
      <w:pPr>
        <w:widowControl w:val="0"/>
        <w:tabs>
          <w:tab w:val="left" w:pos="-33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DEB" w:rsidRPr="00CC335D" w:rsidRDefault="00DE5A27" w:rsidP="004E5B6C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3</w:t>
      </w:r>
      <w:r w:rsidR="007A5914" w:rsidRPr="00CC33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335D" w:rsidRPr="00CC335D">
        <w:rPr>
          <w:rFonts w:ascii="Times New Roman" w:hAnsi="Times New Roman" w:cs="Times New Roman"/>
          <w:b/>
          <w:sz w:val="28"/>
          <w:szCs w:val="28"/>
        </w:rPr>
        <w:t>Итоги контрольной деятельности</w:t>
      </w:r>
      <w:r w:rsidR="007A5914" w:rsidRPr="00CC33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7DEB" w:rsidRDefault="00367DEB" w:rsidP="004E5B6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C7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4C7C">
        <w:rPr>
          <w:rFonts w:ascii="Times New Roman" w:hAnsi="Times New Roman" w:cs="Times New Roman"/>
          <w:sz w:val="28"/>
          <w:szCs w:val="28"/>
        </w:rPr>
        <w:t xml:space="preserve"> году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054C7C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54C7C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D42A34">
        <w:rPr>
          <w:rFonts w:ascii="Times New Roman" w:hAnsi="Times New Roman" w:cs="Times New Roman"/>
          <w:sz w:val="28"/>
          <w:szCs w:val="28"/>
        </w:rPr>
        <w:t>мероприятий (из них – 2 тематических мероприятия, 2 -</w:t>
      </w:r>
      <w:r w:rsidRPr="00D42A34">
        <w:t xml:space="preserve"> </w:t>
      </w:r>
      <w:r w:rsidRPr="00D42A34">
        <w:rPr>
          <w:rFonts w:ascii="Times New Roman" w:hAnsi="Times New Roman" w:cs="Times New Roman"/>
          <w:sz w:val="28"/>
          <w:szCs w:val="28"/>
        </w:rPr>
        <w:t>проверки муниципальных</w:t>
      </w:r>
      <w:r w:rsidR="00D42A34" w:rsidRPr="00D42A34">
        <w:rPr>
          <w:rFonts w:ascii="Times New Roman" w:hAnsi="Times New Roman" w:cs="Times New Roman"/>
          <w:sz w:val="28"/>
          <w:szCs w:val="28"/>
        </w:rPr>
        <w:t xml:space="preserve"> учреждений Грачевского района в рамках </w:t>
      </w:r>
      <w:r w:rsidRPr="00D42A34">
        <w:rPr>
          <w:rFonts w:ascii="Times New Roman" w:hAnsi="Times New Roman" w:cs="Times New Roman"/>
          <w:sz w:val="28"/>
          <w:szCs w:val="28"/>
        </w:rPr>
        <w:t>аудита в сфере закупок).</w:t>
      </w:r>
    </w:p>
    <w:p w:rsidR="000807F4" w:rsidRDefault="000807F4" w:rsidP="000807F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07F4" w:rsidRPr="00C84077" w:rsidRDefault="000807F4" w:rsidP="000807F4">
      <w:pPr>
        <w:widowControl w:val="0"/>
        <w:tabs>
          <w:tab w:val="left" w:pos="-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1. </w:t>
      </w:r>
      <w:r w:rsidRPr="00104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Аудит в сфере закупок для обеспечения муниципальных нужд муниципального казенного общеобразовательного учреждения "Средняя общеобразовательная школа № 4" с. </w:t>
      </w:r>
      <w:proofErr w:type="gramStart"/>
      <w:r w:rsidRPr="001040FE">
        <w:rPr>
          <w:rFonts w:ascii="Times New Roman" w:eastAsia="Times New Roman" w:hAnsi="Times New Roman" w:cs="Times New Roman"/>
          <w:b/>
          <w:i/>
          <w:sz w:val="28"/>
          <w:szCs w:val="28"/>
        </w:rPr>
        <w:t>Красное</w:t>
      </w:r>
      <w:proofErr w:type="gramEnd"/>
      <w:r w:rsidRPr="001040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Грачевского муниципального района Ставропольского края за 2020 год» в муниципальном казенном образовательном учреждении «Средняя общеобразовательная школа № 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807F4" w:rsidRPr="00C84077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43">
        <w:rPr>
          <w:rFonts w:ascii="Times New Roman" w:eastAsia="Times New Roman" w:hAnsi="Times New Roman" w:cs="Times New Roman"/>
          <w:sz w:val="28"/>
          <w:szCs w:val="28"/>
        </w:rPr>
        <w:t xml:space="preserve">Объем проверенных средств </w:t>
      </w:r>
      <w:r w:rsidRPr="00FB2D11">
        <w:rPr>
          <w:rFonts w:ascii="Times New Roman" w:eastAsia="Times New Roman" w:hAnsi="Times New Roman" w:cs="Times New Roman"/>
          <w:sz w:val="28"/>
          <w:szCs w:val="28"/>
        </w:rPr>
        <w:t>составил  2 634,50 тыс</w:t>
      </w:r>
      <w:r w:rsidRPr="00FA3842">
        <w:rPr>
          <w:rFonts w:ascii="Times New Roman" w:eastAsia="Times New Roman" w:hAnsi="Times New Roman" w:cs="Times New Roman"/>
          <w:sz w:val="28"/>
          <w:szCs w:val="28"/>
        </w:rPr>
        <w:t xml:space="preserve">. рублей. </w:t>
      </w:r>
    </w:p>
    <w:p w:rsidR="000807F4" w:rsidRPr="00C84077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A6E56">
        <w:rPr>
          <w:rFonts w:ascii="Times New Roman" w:eastAsia="Times New Roman" w:hAnsi="Times New Roman" w:cs="Times New Roman"/>
          <w:sz w:val="28"/>
          <w:szCs w:val="28"/>
        </w:rPr>
        <w:t>В ходе проверки были выявлены нарушения Фе</w:t>
      </w:r>
      <w:r>
        <w:rPr>
          <w:rFonts w:ascii="Times New Roman" w:eastAsia="Times New Roman" w:hAnsi="Times New Roman" w:cs="Times New Roman"/>
          <w:sz w:val="28"/>
          <w:szCs w:val="28"/>
        </w:rPr>
        <w:t>дерального закон от 05.04.2013 №</w:t>
      </w:r>
      <w:r w:rsidRPr="004A6E56">
        <w:rPr>
          <w:rFonts w:ascii="Times New Roman" w:eastAsia="Times New Roman" w:hAnsi="Times New Roman" w:cs="Times New Roman"/>
          <w:sz w:val="28"/>
          <w:szCs w:val="28"/>
        </w:rPr>
        <w:t xml:space="preserve"> 44-ФЗ "О контрактной системе в сфере закупок</w:t>
      </w:r>
      <w:r w:rsidRPr="004A35E9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</w:t>
      </w:r>
      <w:r w:rsidRPr="004A6E56">
        <w:rPr>
          <w:rFonts w:ascii="Times New Roman" w:eastAsia="Times New Roman" w:hAnsi="Times New Roman" w:cs="Times New Roman"/>
          <w:sz w:val="28"/>
          <w:szCs w:val="28"/>
        </w:rPr>
        <w:t>нужд".</w:t>
      </w:r>
    </w:p>
    <w:p w:rsidR="000807F4" w:rsidRPr="00C84077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43">
        <w:rPr>
          <w:rFonts w:ascii="Times New Roman" w:eastAsia="Times New Roman" w:hAnsi="Times New Roman" w:cs="Times New Roman"/>
          <w:sz w:val="28"/>
          <w:szCs w:val="28"/>
        </w:rPr>
        <w:t xml:space="preserve">Всего в ходе проверки выявлено нарушений </w:t>
      </w:r>
      <w:r w:rsidRPr="001040FE">
        <w:rPr>
          <w:rFonts w:ascii="Times New Roman" w:eastAsia="Times New Roman" w:hAnsi="Times New Roman" w:cs="Times New Roman"/>
          <w:sz w:val="28"/>
          <w:szCs w:val="28"/>
        </w:rPr>
        <w:t>при осуществлении государственных (муниципальных) закупок и закупок отдельными видами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3943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Pr="001040FE">
        <w:rPr>
          <w:rFonts w:ascii="Times New Roman" w:eastAsia="Times New Roman" w:hAnsi="Times New Roman" w:cs="Times New Roman"/>
          <w:sz w:val="28"/>
          <w:szCs w:val="28"/>
        </w:rPr>
        <w:t>1 595,25</w:t>
      </w:r>
      <w:r w:rsidRPr="00FB394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0807F4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3592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3521F9">
        <w:rPr>
          <w:rFonts w:ascii="Times New Roman" w:eastAsia="Times New Roman" w:hAnsi="Times New Roman" w:cs="Times New Roman"/>
          <w:i/>
          <w:sz w:val="28"/>
          <w:szCs w:val="28"/>
        </w:rPr>
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</w:t>
      </w:r>
      <w:r w:rsidRPr="001B359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1B359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297,00</w:t>
      </w:r>
      <w:r w:rsidRPr="001B3592">
        <w:rPr>
          <w:rFonts w:ascii="Times New Roman" w:eastAsia="Times New Roman" w:hAnsi="Times New Roman" w:cs="Times New Roman"/>
          <w:i/>
          <w:sz w:val="28"/>
          <w:szCs w:val="28"/>
        </w:rPr>
        <w:t xml:space="preserve"> тыс. рублей</w:t>
      </w:r>
      <w:r w:rsidRPr="00A4708F">
        <w:rPr>
          <w:rFonts w:ascii="Times New Roman" w:eastAsia="Times New Roman" w:hAnsi="Times New Roman" w:cs="Times New Roman"/>
          <w:i/>
          <w:sz w:val="28"/>
          <w:szCs w:val="28"/>
        </w:rPr>
        <w:t xml:space="preserve"> (1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нарушение)</w:t>
      </w:r>
      <w:r w:rsidRPr="001B359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0807F4" w:rsidRPr="003521F9" w:rsidRDefault="000807F4" w:rsidP="000807F4">
      <w:pPr>
        <w:widowControl w:val="0"/>
        <w:tabs>
          <w:tab w:val="left" w:pos="-14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сведений, содержащихся в едином реестре государственных и муниципальных контрактов на официальном сайте www.zakupki.gov.ru, установлено, что Учреждением 21 января 2020 года был заключен договор энергоснабжения № 513274 (контракт на энергоснабжение организации, финансируемой за счет </w:t>
      </w:r>
      <w:r w:rsidR="00D42A34">
        <w:rPr>
          <w:rFonts w:ascii="Times New Roman" w:eastAsia="Times New Roman" w:hAnsi="Times New Roman" w:cs="Times New Roman"/>
          <w:sz w:val="28"/>
          <w:szCs w:val="28"/>
        </w:rPr>
        <w:t>средств местного бюджета) с ПАО 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521F9">
        <w:rPr>
          <w:rFonts w:ascii="Times New Roman" w:eastAsia="Times New Roman" w:hAnsi="Times New Roman" w:cs="Times New Roman"/>
          <w:sz w:val="28"/>
          <w:szCs w:val="28"/>
        </w:rPr>
        <w:t>Ставропольэнергосбыт</w:t>
      </w:r>
      <w:proofErr w:type="spellEnd"/>
      <w:r w:rsidRPr="003521F9">
        <w:rPr>
          <w:rFonts w:ascii="Times New Roman" w:eastAsia="Times New Roman" w:hAnsi="Times New Roman" w:cs="Times New Roman"/>
          <w:sz w:val="28"/>
          <w:szCs w:val="28"/>
        </w:rPr>
        <w:t>» на общую сумму 297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0807F4" w:rsidRPr="003521F9" w:rsidRDefault="000807F4" w:rsidP="000807F4">
      <w:pPr>
        <w:widowControl w:val="0"/>
        <w:tabs>
          <w:tab w:val="left" w:pos="-14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521F9">
        <w:rPr>
          <w:rFonts w:ascii="Times New Roman" w:eastAsia="Times New Roman" w:hAnsi="Times New Roman" w:cs="Times New Roman"/>
          <w:sz w:val="28"/>
          <w:szCs w:val="28"/>
        </w:rPr>
        <w:t>Согласно преамбуле договора, данный договор заключен сторонами на основании пункта 29 части 1 статьи 93 Закона № 44-ФЗ.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521F9">
        <w:rPr>
          <w:rFonts w:ascii="Times New Roman" w:eastAsia="Times New Roman" w:hAnsi="Times New Roman" w:cs="Times New Roman"/>
          <w:sz w:val="28"/>
          <w:szCs w:val="28"/>
        </w:rPr>
        <w:t>При этом</w:t>
      </w:r>
      <w:proofErr w:type="gramStart"/>
      <w:r w:rsidRPr="003521F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 в нарушение ч. 3 ст. 103 Закона № 44-ФЗ,  п. 12 Правил ведения реестра контрактов, заключенных заказчиками, утвержденных постановлением Правительства РФ от 28.11.2013 № 1084 (далее – Правила ведения реестра контрактов) сведения о данном договоре не размещены Учреждением в реестре контрактов.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361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3521F9">
        <w:rPr>
          <w:rFonts w:ascii="Times New Roman" w:eastAsia="Times New Roman" w:hAnsi="Times New Roman" w:cs="Times New Roman"/>
          <w:i/>
          <w:sz w:val="28"/>
          <w:szCs w:val="28"/>
        </w:rPr>
        <w:t>Не включение в контракт (договор) обязательных условий</w:t>
      </w:r>
      <w:r w:rsidRPr="00CA36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CA36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42A34">
        <w:rPr>
          <w:rFonts w:ascii="Times New Roman" w:eastAsia="Times New Roman" w:hAnsi="Times New Roman" w:cs="Times New Roman"/>
          <w:i/>
          <w:sz w:val="28"/>
          <w:szCs w:val="28"/>
        </w:rPr>
        <w:t>1 298,25 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тыс. рублей (9 нарушений):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 ходе проверки установлено, что Учреждением допускались случаи заключения договоров с единственным постав</w:t>
      </w:r>
      <w:r w:rsidR="00D42A34">
        <w:rPr>
          <w:rFonts w:ascii="Times New Roman" w:eastAsia="Times New Roman" w:hAnsi="Times New Roman" w:cs="Times New Roman"/>
          <w:sz w:val="28"/>
          <w:szCs w:val="28"/>
        </w:rPr>
        <w:t>щиком на основании п. 4 ч.1 ст. 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>93 Закона № 44-ФЗ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(8 договоров на общую сумму - 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>430,75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>, содержащих условия о сроках оплаты товара, работы или услуги не соответствующие требованиям ч. 13.1 ст. 34 Закона № 44-ФЗ, согласно которой  срок оплаты заказчиком поставленного товара, выполненной работы (ее результатов</w:t>
      </w:r>
      <w:proofErr w:type="gramEnd"/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3521F9">
        <w:rPr>
          <w:rFonts w:ascii="Times New Roman" w:eastAsia="Times New Roman" w:hAnsi="Times New Roman" w:cs="Times New Roman"/>
          <w:sz w:val="28"/>
          <w:szCs w:val="28"/>
        </w:rPr>
        <w:t>оказанной услуги, отдельных этапов исполнения контракта должен составлять не более 30-ти дней с даты подписания заказчиком документа о приемке, предусмотренного ч. 7 ст. 94 Закона № 44-ФЗ, за исключением случаев, если иной срок оплаты установлен законодательством Российской Федерации, случая, указанного в ч. 8 ст. 30 Закона № 44-ФЗ, а также случаев, когда Правительством Российской Федерации в целях обеспечения обороноспособности и безопасности государства</w:t>
      </w:r>
      <w:proofErr w:type="gramEnd"/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 установлен иной срок оплаты.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 ходе проверки докум</w:t>
      </w:r>
      <w:r>
        <w:rPr>
          <w:rFonts w:ascii="Times New Roman" w:eastAsia="Times New Roman" w:hAnsi="Times New Roman" w:cs="Times New Roman"/>
          <w:sz w:val="28"/>
          <w:szCs w:val="28"/>
        </w:rPr>
        <w:t>ентации электронного аукциона № 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0321300165620000001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(сумма контракта - 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>867,50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рублей) 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>были выявлены нарушения требований ч. 8 ст. 30, ч. 4 ст. 64 Закона № 44-ФЗ, выразившиеся в установлении в проекте контракта неправомерных условий оплаты Заказчиком оказываемых услуг, а также нарушения ч. 27 ст. 34 Закона № 44-ФЗ, выразившиеся в установлении в проекте контракта неправомерных условий о сроках возврата заказчиком поставщику</w:t>
      </w:r>
      <w:proofErr w:type="gramEnd"/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исполнителем).</w:t>
      </w:r>
    </w:p>
    <w:p w:rsidR="000807F4" w:rsidRPr="003521F9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данное нарушение также было выявлено 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>финансовым управлением администрации Грачевского муниципального района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проведения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>планов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 проверка на предмет соблюдения МКУ СОШ № 4 требований законодательства Российской Федерации и иных нормативных правовых актов 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данной проверки был составлен Акт № 22 от 30.10.2020 (далее – Акт № 22).</w:t>
      </w:r>
    </w:p>
    <w:p w:rsidR="000807F4" w:rsidRPr="003521F9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F9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проведенной проверки финансовым управлением администрации Грачевского муниципального района Ставропольского края в адрес Ставропольского  Управления Федеральной антимонопольной службы по Ставропольскому краю была направлена информация о нарушениях законодательства о контрактной системе, допущенных МКОУ СОШ № 4.</w:t>
      </w:r>
    </w:p>
    <w:p w:rsidR="000807F4" w:rsidRPr="00772573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1F9">
        <w:rPr>
          <w:rFonts w:ascii="Times New Roman" w:eastAsia="Times New Roman" w:hAnsi="Times New Roman" w:cs="Times New Roman"/>
          <w:sz w:val="28"/>
          <w:szCs w:val="28"/>
        </w:rPr>
        <w:t>По итогам рассмотрения дела № 026/04/7.30-41/2021 Ставропольским УФАС России 10 февраля 2021 года было вынесено постановление о наложении штрафа по делу об ад</w:t>
      </w:r>
      <w:r w:rsidR="00D42A34">
        <w:rPr>
          <w:rFonts w:ascii="Times New Roman" w:eastAsia="Times New Roman" w:hAnsi="Times New Roman" w:cs="Times New Roman"/>
          <w:sz w:val="28"/>
          <w:szCs w:val="28"/>
        </w:rPr>
        <w:t>министративном правонарушении № </w:t>
      </w:r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026/04/7.30-41/2021 на должностное лицо – директора МКОУ СОШ № 4 Е.И. </w:t>
      </w:r>
      <w:proofErr w:type="gramStart"/>
      <w:r w:rsidRPr="003521F9">
        <w:rPr>
          <w:rFonts w:ascii="Times New Roman" w:eastAsia="Times New Roman" w:hAnsi="Times New Roman" w:cs="Times New Roman"/>
          <w:sz w:val="28"/>
          <w:szCs w:val="28"/>
        </w:rPr>
        <w:t>Долгую</w:t>
      </w:r>
      <w:proofErr w:type="gramEnd"/>
      <w:r w:rsidRPr="003521F9">
        <w:rPr>
          <w:rFonts w:ascii="Times New Roman" w:eastAsia="Times New Roman" w:hAnsi="Times New Roman" w:cs="Times New Roman"/>
          <w:sz w:val="28"/>
          <w:szCs w:val="28"/>
        </w:rPr>
        <w:t xml:space="preserve"> в размере 3000,00 рублей. Данный штраф на момент проведения контрольного мероприятия оплачен в полном объеме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07F4" w:rsidRPr="004A18AA" w:rsidRDefault="000807F4" w:rsidP="000807F4">
      <w:pPr>
        <w:widowControl w:val="0"/>
        <w:tabs>
          <w:tab w:val="left" w:pos="-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83D51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83D51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Проверка финансово-хозяйственной деятельности муниципального бюджетного учреждения «Дорожно-хозяйственное управление» Грачевского муниципального округа Ставропольского края за период 2020 года и  I квартал 2021 года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807F4" w:rsidRPr="004A18AA" w:rsidRDefault="000807F4" w:rsidP="000807F4">
      <w:pPr>
        <w:widowControl w:val="0"/>
        <w:tabs>
          <w:tab w:val="left" w:pos="-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A3842">
        <w:rPr>
          <w:rFonts w:ascii="Times New Roman" w:eastAsia="Times New Roman" w:hAnsi="Times New Roman" w:cs="Times New Roman"/>
          <w:sz w:val="28"/>
          <w:szCs w:val="28"/>
        </w:rPr>
        <w:t xml:space="preserve">Объем проверенных средств составил  </w:t>
      </w:r>
      <w:r w:rsidRPr="00FB2D11">
        <w:rPr>
          <w:rFonts w:ascii="Times New Roman" w:eastAsia="Times New Roman" w:hAnsi="Times New Roman" w:cs="Times New Roman"/>
          <w:sz w:val="28"/>
          <w:szCs w:val="28"/>
        </w:rPr>
        <w:t>17 718,77 тыс</w:t>
      </w:r>
      <w:r w:rsidRPr="00FA3842">
        <w:rPr>
          <w:rFonts w:ascii="Times New Roman" w:eastAsia="Times New Roman" w:hAnsi="Times New Roman" w:cs="Times New Roman"/>
          <w:sz w:val="28"/>
          <w:szCs w:val="28"/>
        </w:rPr>
        <w:t>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7F4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077">
        <w:rPr>
          <w:rFonts w:ascii="Times New Roman" w:eastAsia="Times New Roman" w:hAnsi="Times New Roman" w:cs="Times New Roman"/>
          <w:sz w:val="28"/>
          <w:szCs w:val="28"/>
        </w:rPr>
        <w:t>В ходе проверки были выявлены нарушения бюджетного и трудового законодательства, федерального з</w:t>
      </w:r>
      <w:r>
        <w:rPr>
          <w:rFonts w:ascii="Times New Roman" w:eastAsia="Times New Roman" w:hAnsi="Times New Roman" w:cs="Times New Roman"/>
          <w:sz w:val="28"/>
          <w:szCs w:val="28"/>
        </w:rPr>
        <w:t>акона от 16.12.2011 № 402-ФЗ "О </w:t>
      </w:r>
      <w:r w:rsidRPr="00C84077">
        <w:rPr>
          <w:rFonts w:ascii="Times New Roman" w:eastAsia="Times New Roman" w:hAnsi="Times New Roman" w:cs="Times New Roman"/>
          <w:sz w:val="28"/>
          <w:szCs w:val="28"/>
        </w:rPr>
        <w:t>бухгалтерском учете", Инструкции № 157н, Указаний № 52н,  других нормативно-правовых актов РФ, СК 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 правовых актов</w:t>
      </w:r>
    </w:p>
    <w:p w:rsidR="000807F4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FB3943">
        <w:rPr>
          <w:rFonts w:ascii="Times New Roman" w:eastAsia="Times New Roman" w:hAnsi="Times New Roman" w:cs="Times New Roman"/>
          <w:sz w:val="28"/>
          <w:szCs w:val="28"/>
        </w:rPr>
        <w:t xml:space="preserve">Всего в ходе проверки выявлено нарушений финансовой дисциплины на сумму </w:t>
      </w:r>
      <w:r w:rsidRPr="0036682E">
        <w:rPr>
          <w:rFonts w:ascii="Times New Roman" w:eastAsia="Times New Roman" w:hAnsi="Times New Roman" w:cs="Times New Roman"/>
          <w:sz w:val="28"/>
          <w:szCs w:val="28"/>
        </w:rPr>
        <w:t>7 289,37</w:t>
      </w:r>
      <w:r w:rsidRPr="00FB394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0807F4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682E">
        <w:rPr>
          <w:rFonts w:ascii="Times New Roman" w:eastAsia="Times New Roman" w:hAnsi="Times New Roman" w:cs="Times New Roman"/>
          <w:i/>
          <w:sz w:val="28"/>
          <w:szCs w:val="28"/>
        </w:rPr>
        <w:t>- Нарушения в ходе формирования и исполнения бюджетов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24D4B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24D4B">
        <w:rPr>
          <w:rFonts w:ascii="Times New Roman" w:eastAsia="Times New Roman" w:hAnsi="Times New Roman" w:cs="Times New Roman"/>
          <w:i/>
          <w:sz w:val="28"/>
          <w:szCs w:val="28"/>
        </w:rPr>
        <w:t>1 971,01 </w:t>
      </w:r>
      <w:r w:rsidRPr="003F0F12">
        <w:rPr>
          <w:rFonts w:ascii="Times New Roman" w:eastAsia="Times New Roman" w:hAnsi="Times New Roman" w:cs="Times New Roman"/>
          <w:i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(28 нарушений, из них 26 – не имеющие стоимостной оценки)</w:t>
      </w:r>
      <w:r w:rsidRPr="003F0F1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93">
        <w:rPr>
          <w:rFonts w:ascii="Times New Roman" w:eastAsia="Times New Roman" w:hAnsi="Times New Roman" w:cs="Times New Roman"/>
          <w:sz w:val="28"/>
          <w:szCs w:val="28"/>
        </w:rPr>
        <w:t>В нарушении п.14 Требований № 186н, п.12 Распоряжения от 24.12.2019 № 313-ро изменение показателей Плана ФХД на 2020-2022 годы Учреждением осуществлялось без корректировки обоснований (расчетов) соответствующих обоснований (расчетов) плановых показателей по поступлениям и (или) выплатам.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93">
        <w:rPr>
          <w:rFonts w:ascii="Times New Roman" w:eastAsia="Times New Roman" w:hAnsi="Times New Roman" w:cs="Times New Roman"/>
          <w:sz w:val="28"/>
          <w:szCs w:val="28"/>
        </w:rPr>
        <w:t>В нарушение п. 8 Требований № 186н, п.7, 21-25 Распоряжения от 09.12.2020 № 3-ро утвержденный План ФХД на 2021-2023 годы  от 30.12.2020  не содержит   обоснований (расчетов) плановых показателей по поступлениям, которые формируются на основании расчетов по соответствующим доходам.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93">
        <w:rPr>
          <w:rFonts w:ascii="Times New Roman" w:eastAsia="Times New Roman" w:hAnsi="Times New Roman" w:cs="Times New Roman"/>
          <w:sz w:val="28"/>
          <w:szCs w:val="28"/>
        </w:rPr>
        <w:t xml:space="preserve">Показатели первоначального Плана ФХД на 2021-2023 годы планируемых по субсидиям, предусмотренных абзацем вторым пункта 1 статьи 78.1 Бюджетного кодекса Российской Федерации (далее - целевые </w:t>
      </w:r>
      <w:r w:rsidRPr="001B1393">
        <w:rPr>
          <w:rFonts w:ascii="Times New Roman" w:eastAsia="Times New Roman" w:hAnsi="Times New Roman" w:cs="Times New Roman"/>
          <w:sz w:val="28"/>
          <w:szCs w:val="28"/>
        </w:rPr>
        <w:lastRenderedPageBreak/>
        <w:t>субсидии) утверждены с нарушениями сроков, предусмотренных  п. 13 Распоряжения от 09.12.2020 № 3-ро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93">
        <w:rPr>
          <w:rFonts w:ascii="Times New Roman" w:eastAsia="Times New Roman" w:hAnsi="Times New Roman" w:cs="Times New Roman"/>
          <w:sz w:val="28"/>
          <w:szCs w:val="28"/>
        </w:rPr>
        <w:t>В ходе проверки исполнения Плана ФХД на 01.04.2021 установлено, что кассовые расходы производились до внесения соответствующих изменений в  плановые показатели по выплатам.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93">
        <w:rPr>
          <w:rFonts w:ascii="Times New Roman" w:eastAsia="Times New Roman" w:hAnsi="Times New Roman" w:cs="Times New Roman"/>
          <w:sz w:val="28"/>
          <w:szCs w:val="28"/>
        </w:rPr>
        <w:t>В нарушение п. 19 Порядка формирования и финансового обеспечения выполнения МЗ от 19.12.2019 г. № 544 объем бюджетных ассигнований, а также обоснования бюджетных ассигнований на финансовое обеспечение выполнения муниципального задания МБУ «ДХУ» на 2020 год и плановый период 2021 и 2022 годов  сформированы  без учета нормативных затрат на выполнение работ. Затраты на содержание имущества, не используемого для выполнения муниципального задания, в расчете также не учитывались.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93">
        <w:rPr>
          <w:rFonts w:ascii="Times New Roman" w:eastAsia="Times New Roman" w:hAnsi="Times New Roman" w:cs="Times New Roman"/>
          <w:sz w:val="28"/>
          <w:szCs w:val="28"/>
        </w:rPr>
        <w:t>В нарушение пунктов 5, 23 изменение в Соглашение № 02-20 о порядке и условиях предоставления субсидии на финансовое обеспечение выполнения муниципального задания (в редакции дополнительного соглашения от 19.08.2020 № 1) было оформлено сторонами до утверждения нового (внесение изменений) муниципального задания на 2020 год и плановый период 2021 и 2022 годов.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задание на 2021-2023 годы составлено с нарушением требований, установленных </w:t>
      </w:r>
      <w:r w:rsidRPr="001B1393">
        <w:rPr>
          <w:rFonts w:ascii="Times New Roman" w:eastAsia="Times New Roman" w:hAnsi="Times New Roman" w:cs="Times New Roman"/>
          <w:sz w:val="28"/>
          <w:szCs w:val="28"/>
        </w:rPr>
        <w:t>п.3 Порядка формирования и финансового обеспечения выполнения МЗ от 25.12.2020 г. № 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75B">
        <w:rPr>
          <w:rFonts w:ascii="Times New Roman" w:eastAsia="Times New Roman" w:hAnsi="Times New Roman" w:cs="Times New Roman"/>
          <w:sz w:val="28"/>
          <w:szCs w:val="28"/>
        </w:rPr>
        <w:t>В нарушение п. 42 Требований № 186н общая сумма расходов Учреждения на закупки товаров, работ, услуг, отраженная в Плане ФХД на 2020-2022 годы (с учетом внесений изменений), не соответствует показателям плана-графика закупок по Закону № 44-ФЗ и плана закупок по Закону № 223-ФЗ (отклонения составило по Закону № 44-ФЗ - +889 890,00  рублей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275B">
        <w:rPr>
          <w:rFonts w:ascii="Times New Roman" w:eastAsia="Times New Roman" w:hAnsi="Times New Roman" w:cs="Times New Roman"/>
          <w:sz w:val="28"/>
          <w:szCs w:val="28"/>
        </w:rPr>
        <w:t>В нарушение п. 42 Требований № 186н Общая сумма расходов Учреждения на закупки товаров, работ, услуг, отраженная в Плане ФХД на 2021-2023 годы (с учетом внесений изменений), не соответствует показателям плана-графика закупок по Закону № 44-ФЗ и плана закупок по Закону № 223-ФЗ (отклонения составило по Закону № 44-ФЗ - +10 811 123,72   рублей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807F4" w:rsidRDefault="000807F4" w:rsidP="000807F4">
      <w:pPr>
        <w:widowControl w:val="0"/>
        <w:tabs>
          <w:tab w:val="left" w:pos="-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1393">
        <w:rPr>
          <w:rFonts w:ascii="Times New Roman" w:eastAsia="Times New Roman" w:hAnsi="Times New Roman" w:cs="Times New Roman"/>
          <w:sz w:val="28"/>
          <w:szCs w:val="28"/>
        </w:rPr>
        <w:t>В нарушение пунктов 3, 3.3. ст. 32 Федерального закона от 12 января 1996 г. № 7-ФЗ "О некоммерческих организациях" информация о деятельности Учреждения  размещалась на официальном сайте  www.bus.gov.ru. с нарушением сроков, определенного п.15 Порядка предоставления информации государственным (муниципальным) учреждением, утвержденного приказом Минфина России от 21 июля 2011 г. № 86н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807F4" w:rsidRDefault="000807F4" w:rsidP="000807F4">
      <w:pPr>
        <w:widowControl w:val="0"/>
        <w:tabs>
          <w:tab w:val="left" w:pos="-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1393">
        <w:rPr>
          <w:rFonts w:ascii="Times New Roman" w:eastAsia="Times New Roman" w:hAnsi="Times New Roman" w:cs="Times New Roman"/>
          <w:sz w:val="28"/>
          <w:szCs w:val="28"/>
        </w:rPr>
        <w:t>В нарушение абзаца 11 пункта 6 Приказа Минфина РФ № 86н, Учреждением вместо Отчета о результатах деятельности муниципального учреждения  за 2020 год опубликована Информация о результатах деятельности и об использовании имущества за отчетный период, содержащая неполные данные, предусмотренные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proofErr w:type="gramEnd"/>
      <w:r w:rsidRPr="001B13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139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утвержденного Приказом Минфина РФ от 30.09.2009 №114н.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275B">
        <w:rPr>
          <w:rFonts w:ascii="Times New Roman" w:eastAsia="Times New Roman" w:hAnsi="Times New Roman" w:cs="Times New Roman"/>
          <w:i/>
          <w:sz w:val="28"/>
          <w:szCs w:val="28"/>
        </w:rPr>
        <w:t xml:space="preserve">- Нарушения ведения бухгалтерского учета, составления и представления бухгалтерской (финансовой) отчетности – 1 203,34 </w:t>
      </w:r>
      <w:r w:rsidRPr="003F0F12">
        <w:rPr>
          <w:rFonts w:ascii="Times New Roman" w:eastAsia="Times New Roman" w:hAnsi="Times New Roman" w:cs="Times New Roman"/>
          <w:i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(9 нарушений, из них 1 –  не имеет стоимостной оценки)</w:t>
      </w:r>
      <w:r w:rsidRPr="003F0F1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1393">
        <w:rPr>
          <w:rFonts w:ascii="Times New Roman" w:eastAsia="Times New Roman" w:hAnsi="Times New Roman" w:cs="Times New Roman"/>
          <w:sz w:val="28"/>
          <w:szCs w:val="28"/>
        </w:rPr>
        <w:t xml:space="preserve"> нарушение </w:t>
      </w:r>
      <w:proofErr w:type="spellStart"/>
      <w:r w:rsidRPr="001B1393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1B1393">
        <w:rPr>
          <w:rFonts w:ascii="Times New Roman" w:eastAsia="Times New Roman" w:hAnsi="Times New Roman" w:cs="Times New Roman"/>
          <w:sz w:val="28"/>
          <w:szCs w:val="28"/>
        </w:rPr>
        <w:t>. 21, 71, 78, 333 Инструкции № 157н, п. 19 Инструкции № 174н земельный участок с кадастровым номером 26:07:000000:420, переданный МБУ «ДХУ» в постоянное (бессрочное) пользование в учете Учреждения не отражен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Pr="009F275B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F275B">
        <w:rPr>
          <w:rFonts w:ascii="Times New Roman" w:eastAsia="Times New Roman" w:hAnsi="Times New Roman" w:cs="Times New Roman"/>
          <w:sz w:val="28"/>
          <w:szCs w:val="28"/>
        </w:rPr>
        <w:t xml:space="preserve"> Учреждении отсутствуют локальные сметные расчеты или иные подобные первичные учетные документы (содержащие сведения об объекте, на котором выполнялись работы, а также об объеме выполненных работ) на выполнение в 2020 году работ по ремонту и содержанию автомобильных дорог и объектов дорожной инфраструктуры, закрепленных за Учреждением, для выполнения которых Учреждением приобретались асфальт, ПГС и щебень.</w:t>
      </w:r>
      <w:proofErr w:type="gramEnd"/>
      <w:r w:rsidRPr="009F275B">
        <w:rPr>
          <w:rFonts w:ascii="Times New Roman" w:eastAsia="Times New Roman" w:hAnsi="Times New Roman" w:cs="Times New Roman"/>
          <w:sz w:val="28"/>
          <w:szCs w:val="28"/>
        </w:rPr>
        <w:t xml:space="preserve">  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275B">
        <w:rPr>
          <w:rFonts w:ascii="Times New Roman" w:eastAsia="Times New Roman" w:hAnsi="Times New Roman" w:cs="Times New Roman"/>
          <w:sz w:val="28"/>
          <w:szCs w:val="28"/>
        </w:rPr>
        <w:t xml:space="preserve"> для списания материальных запасов в Учреждении использовался «Материальный отчет», форма которого утверждена Приложением 3 к Учетной политике, как самостоятельно разработанная организацией форма первичн</w:t>
      </w:r>
      <w:r>
        <w:rPr>
          <w:rFonts w:ascii="Times New Roman" w:eastAsia="Times New Roman" w:hAnsi="Times New Roman" w:cs="Times New Roman"/>
          <w:sz w:val="28"/>
          <w:szCs w:val="28"/>
        </w:rPr>
        <w:t>ой учетной документации. Однако</w:t>
      </w:r>
      <w:r w:rsidRPr="009F275B">
        <w:rPr>
          <w:rFonts w:ascii="Times New Roman" w:eastAsia="Times New Roman" w:hAnsi="Times New Roman" w:cs="Times New Roman"/>
          <w:sz w:val="28"/>
          <w:szCs w:val="28"/>
        </w:rPr>
        <w:t xml:space="preserve"> данная форма утверждена Учетной политикой для списания продуктов питания, а не строительных материалов. (В рамках данной деятельности в 2020 году Учреждением приобретено и списано материальных запасов на общую сумму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275B"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275B"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9F275B">
        <w:rPr>
          <w:rFonts w:ascii="Times New Roman" w:eastAsia="Times New Roman" w:hAnsi="Times New Roman" w:cs="Times New Roman"/>
          <w:sz w:val="28"/>
          <w:szCs w:val="28"/>
        </w:rPr>
        <w:t xml:space="preserve"> рублей)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Pr="009F275B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0F12">
        <w:rPr>
          <w:rFonts w:ascii="Times New Roman" w:eastAsia="Times New Roman" w:hAnsi="Times New Roman" w:cs="Times New Roman"/>
          <w:i/>
          <w:sz w:val="28"/>
          <w:szCs w:val="28"/>
        </w:rPr>
        <w:t xml:space="preserve">- Нарушения при осуществлении государственных (муниципальных) закупок и закупок отдельными видами юридических лиц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3F0F1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275B">
        <w:rPr>
          <w:rFonts w:ascii="Times New Roman" w:eastAsia="Times New Roman" w:hAnsi="Times New Roman" w:cs="Times New Roman"/>
          <w:i/>
          <w:sz w:val="28"/>
          <w:szCs w:val="28"/>
        </w:rPr>
        <w:t>3 769,00</w:t>
      </w:r>
      <w:r w:rsidRPr="003F0F12">
        <w:rPr>
          <w:rFonts w:ascii="Times New Roman" w:eastAsia="Times New Roman" w:hAnsi="Times New Roman" w:cs="Times New Roman"/>
          <w:i/>
          <w:sz w:val="28"/>
          <w:szCs w:val="28"/>
        </w:rPr>
        <w:t xml:space="preserve"> тыс. рублей</w:t>
      </w:r>
      <w:r w:rsidRPr="00A470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A4708F">
        <w:rPr>
          <w:rFonts w:ascii="Times New Roman" w:eastAsia="Times New Roman" w:hAnsi="Times New Roman" w:cs="Times New Roman"/>
          <w:i/>
          <w:sz w:val="28"/>
          <w:szCs w:val="28"/>
        </w:rPr>
        <w:t xml:space="preserve">48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нарушений, из них 1</w:t>
      </w:r>
      <w:r w:rsidRPr="00A4708F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 не имеющие стоимостной оценки)</w:t>
      </w:r>
      <w:r w:rsidRPr="003F0F1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807F4" w:rsidRPr="0080049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494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3 ст.  39 Закона № 44-ФЗ, Единая комиссия по осуществлению закупок путем проведения конкурсов, аукционов, запросов котировок, запросов предложений для муниципальных нужд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800494">
        <w:rPr>
          <w:rFonts w:ascii="Times New Roman" w:eastAsia="Times New Roman" w:hAnsi="Times New Roman" w:cs="Times New Roman"/>
          <w:sz w:val="28"/>
          <w:szCs w:val="28"/>
        </w:rPr>
        <w:t>создана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2020 году</w:t>
      </w:r>
      <w:r w:rsidRPr="00800494">
        <w:rPr>
          <w:rFonts w:ascii="Times New Roman" w:eastAsia="Times New Roman" w:hAnsi="Times New Roman" w:cs="Times New Roman"/>
          <w:sz w:val="28"/>
          <w:szCs w:val="28"/>
        </w:rPr>
        <w:t xml:space="preserve"> в составе 3-х человек</w:t>
      </w:r>
      <w:r>
        <w:rPr>
          <w:rFonts w:ascii="Times New Roman" w:eastAsia="Times New Roman" w:hAnsi="Times New Roman" w:cs="Times New Roman"/>
          <w:sz w:val="28"/>
          <w:szCs w:val="28"/>
        </w:rPr>
        <w:t>, в 2021 году – в составе 4-х человек</w:t>
      </w:r>
      <w:r w:rsidRPr="008004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8C">
        <w:rPr>
          <w:rFonts w:ascii="Times New Roman" w:eastAsia="Times New Roman" w:hAnsi="Times New Roman" w:cs="Times New Roman"/>
          <w:sz w:val="28"/>
          <w:szCs w:val="28"/>
        </w:rPr>
        <w:t>В нарушение п. 2 ст. 72 БК РФ, ч. 1 ст. 16 Закона 44-ФЗ МБУ «ДХУ» до размещения в ЕИС плана-графика закупок на 2020 год было зак</w:t>
      </w:r>
      <w:r w:rsidR="00624D4B">
        <w:rPr>
          <w:rFonts w:ascii="Times New Roman" w:eastAsia="Times New Roman" w:hAnsi="Times New Roman" w:cs="Times New Roman"/>
          <w:sz w:val="28"/>
          <w:szCs w:val="28"/>
        </w:rPr>
        <w:t>лючено 10 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контрактов на общую сумму 486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 рублей. До размещения в ЕИС плана-графика закупок на 2021 год было заключено 3 контракта на общую сумму 612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0494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комиссией установлены случаи заключения в незначительный промежуток времени нескольких самостоятельных контрактов на поставку одноименного товара, выполнение одноименных работ, оказание одноименных услуг с одним и тем же поставщиком (подрядчиком, исполнителем) с суммой каждого договора не превышающей предела, установленного п. 4 ч.1 ст. 93 Закона № 44-ФЗ, что является признаком необоснованного искусственного дробления закупок.</w:t>
      </w:r>
      <w:proofErr w:type="gramEnd"/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В нарушение частей 1, 2 ст. 34, ст. 95 Закона № 44-ФЗ Учреждение на стадии подписания контрактов по итогам проведения электронных аукционов 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lastRenderedPageBreak/>
        <w:t>необоснованно изменяло существенные усл</w:t>
      </w:r>
      <w:r>
        <w:rPr>
          <w:rFonts w:ascii="Times New Roman" w:eastAsia="Times New Roman" w:hAnsi="Times New Roman" w:cs="Times New Roman"/>
          <w:sz w:val="28"/>
          <w:szCs w:val="28"/>
        </w:rPr>
        <w:t>овия контракта. (2 контракта (№ 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б/н от 06.11.2020 на поставку ГСМ; № 0321600003421000001 от 16.03.2021 на поставку ГСМ) на общую сумму 706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 рублей).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5A8C">
        <w:rPr>
          <w:rFonts w:ascii="Times New Roman" w:eastAsia="Times New Roman" w:hAnsi="Times New Roman" w:cs="Times New Roman"/>
          <w:sz w:val="28"/>
          <w:szCs w:val="28"/>
        </w:rPr>
        <w:t>В нарушение ст. 103 Закона № 44-ФЗ, пунктов 2,3 Правил ведения реестра контрактов, заключенных заказчиками, установленных постановлением Правительства РФ от 28.11.2013 № 1084 в реестре контрактов отсутствует информация о заключении и об исполнении контрактов, заключенных Учреждением в соответствии с п. 8 ч. 1 ст. 93 Закон</w:t>
      </w:r>
      <w:r w:rsidR="00624D4B">
        <w:rPr>
          <w:rFonts w:ascii="Times New Roman" w:eastAsia="Times New Roman" w:hAnsi="Times New Roman" w:cs="Times New Roman"/>
          <w:sz w:val="28"/>
          <w:szCs w:val="28"/>
        </w:rPr>
        <w:t>а № 44-ФЗ (2 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контракта (№ 235 от 01.09.2020;</w:t>
      </w:r>
      <w:proofErr w:type="gramEnd"/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Pr="00725A8C">
        <w:rPr>
          <w:rFonts w:ascii="Times New Roman" w:eastAsia="Times New Roman" w:hAnsi="Times New Roman" w:cs="Times New Roman"/>
          <w:sz w:val="28"/>
          <w:szCs w:val="28"/>
        </w:rPr>
        <w:t>235 от 11.01.2021) на общую сумму 391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рублей).</w:t>
      </w:r>
      <w:proofErr w:type="gramEnd"/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8C">
        <w:rPr>
          <w:rFonts w:ascii="Times New Roman" w:eastAsia="Times New Roman" w:hAnsi="Times New Roman" w:cs="Times New Roman"/>
          <w:sz w:val="28"/>
          <w:szCs w:val="28"/>
        </w:rPr>
        <w:t>В реестре контрактов отсутствуют сведения о контрактах, заключенных Учреждением по итогам конкурсных процедур (3 контракта (№ б/</w:t>
      </w:r>
      <w:r w:rsidR="00624D4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 от 06.11.2020; № 0321600003420000004 от 17.11.2020;  №</w:t>
      </w:r>
      <w:r w:rsidR="00624D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0321600003421000001 от 16.03.2021)  на общую сумму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090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 тыс.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 рублей)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0494">
        <w:rPr>
          <w:rFonts w:ascii="Times New Roman" w:eastAsia="Times New Roman" w:hAnsi="Times New Roman" w:cs="Times New Roman"/>
          <w:sz w:val="28"/>
          <w:szCs w:val="28"/>
        </w:rPr>
        <w:t>В нарушение требований ч. 4 ст. 30 Закона № 44-ФЗ, Правил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утвержденных постановления Правительства Российской Федерации от 17 марта 2015 г. № 238  Учреждением не размещен в единой информационной системе  отчет об объеме закупок у субъектов малого предпринимательства и социально ориентированных некоммерческих</w:t>
      </w:r>
      <w:proofErr w:type="gramEnd"/>
      <w:r w:rsidRPr="00800494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 за 2020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494">
        <w:rPr>
          <w:rFonts w:ascii="Times New Roman" w:eastAsia="Times New Roman" w:hAnsi="Times New Roman" w:cs="Times New Roman"/>
          <w:sz w:val="28"/>
          <w:szCs w:val="28"/>
        </w:rPr>
        <w:t>В нарушение ч. 2 ст. 4 Закона № 223-ФЗ, п. 14 Положения о размещении в единой информационной системе информации о закупке, утвержденного постановлением Правительства Российской Федерации от 10 сентября 2012 г. № 908 Учреждением в ЕИС не размещен план закупок на 2020 год.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494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 ч. 19 ст. 4 Закона № 223-ФЗ отчеты о количестве и стоимости договоров, заключенных заказчиком в 2020 году – I квартал </w:t>
      </w:r>
      <w:r w:rsidR="00624D4B">
        <w:rPr>
          <w:rFonts w:ascii="Times New Roman" w:eastAsia="Times New Roman" w:hAnsi="Times New Roman" w:cs="Times New Roman"/>
          <w:sz w:val="28"/>
          <w:szCs w:val="28"/>
        </w:rPr>
        <w:t>2021 </w:t>
      </w:r>
      <w:r w:rsidRPr="00800494">
        <w:rPr>
          <w:rFonts w:ascii="Times New Roman" w:eastAsia="Times New Roman" w:hAnsi="Times New Roman" w:cs="Times New Roman"/>
          <w:sz w:val="28"/>
          <w:szCs w:val="28"/>
        </w:rPr>
        <w:t>года по результатам закупки у единственного поставщика (исполнителя, подрядчика) размещены Учреждением в ЕИС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8C">
        <w:rPr>
          <w:rFonts w:ascii="Times New Roman" w:eastAsia="Times New Roman" w:hAnsi="Times New Roman" w:cs="Times New Roman"/>
          <w:sz w:val="28"/>
          <w:szCs w:val="28"/>
        </w:rPr>
        <w:t>Администрацией Грачевского муниципального округа Ставропольского края как органом, осуществляющим функции и</w:t>
      </w:r>
      <w:r w:rsidR="00624D4B">
        <w:rPr>
          <w:rFonts w:ascii="Times New Roman" w:eastAsia="Times New Roman" w:hAnsi="Times New Roman" w:cs="Times New Roman"/>
          <w:sz w:val="28"/>
          <w:szCs w:val="28"/>
        </w:rPr>
        <w:t xml:space="preserve"> полномочия учредителя МБУ 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«ДХУ», Положение о закупке товаров, работ, услуг муниципального бюджетного учреждения «Дорожно-хозяйственное управление» Грачевского муниципального округа Ставропольского края не утверждалось. Вследствие чего до начала текущего года в ЕИС Положение о закупке также не размещалось. Таким образом, в силу п. 2 ст. 15 Закона № 44-ФЗ, в 2021 году осуществлять закупки в рамках Закона № 223-ФЗ МБУ «ДХУ» не вправе.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огласно отчетам о количестве и стоимости договоров, заключенных заказчиком в I квартале 2021 года по результатам закупки у единственного поставщика (исполнителя, подрядчика) в январе-феврале 2021 году Учреждением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вышеуказанных норм 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в рамках Закона № 223-ФЗ было заключено 16 договоров на общую сумму 480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4E8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- Иные нарушения – </w:t>
      </w:r>
      <w:r w:rsidRPr="00725A8C">
        <w:rPr>
          <w:rFonts w:ascii="Times New Roman" w:eastAsia="Times New Roman" w:hAnsi="Times New Roman" w:cs="Times New Roman"/>
          <w:i/>
          <w:sz w:val="28"/>
          <w:szCs w:val="28"/>
        </w:rPr>
        <w:t>346,02</w:t>
      </w:r>
      <w:r w:rsidRPr="00554E82">
        <w:rPr>
          <w:rFonts w:ascii="Times New Roman" w:eastAsia="Times New Roman" w:hAnsi="Times New Roman" w:cs="Times New Roman"/>
          <w:i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(30</w:t>
      </w:r>
      <w:r w:rsidRPr="00A470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нарушений, из них 20 –  не имеющие стоимостной оценки)</w:t>
      </w:r>
      <w:r w:rsidRPr="00554E8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807F4" w:rsidRDefault="000807F4" w:rsidP="000807F4">
      <w:pPr>
        <w:widowControl w:val="0"/>
        <w:tabs>
          <w:tab w:val="left" w:pos="-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1393">
        <w:rPr>
          <w:rFonts w:ascii="Times New Roman" w:eastAsia="Times New Roman" w:hAnsi="Times New Roman" w:cs="Times New Roman"/>
          <w:sz w:val="28"/>
          <w:szCs w:val="28"/>
        </w:rPr>
        <w:t>В нарушение п. 3 ч. 3 ст. 8 Закона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транспортные средства в количестве 15 ед., переданные МБУ «ДХУ» в оперативное управление и отнесенные распоряжением отдела имущественных и земельных отношений администрации Грачевского муниципального района Ставропольского края от 01.06.2020 № 41 к особо ценному</w:t>
      </w:r>
      <w:proofErr w:type="gramEnd"/>
      <w:r w:rsidRPr="001B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1393">
        <w:rPr>
          <w:rFonts w:ascii="Times New Roman" w:eastAsia="Times New Roman" w:hAnsi="Times New Roman" w:cs="Times New Roman"/>
          <w:sz w:val="28"/>
          <w:szCs w:val="28"/>
        </w:rPr>
        <w:t>движимому имуществу муниципального бюджетного учреждения «Дорожно-хозяйственное управление» Грачевского муниципального района Ставропольского края на момент проверки не зарегистрированы в установленное порядке.</w:t>
      </w:r>
      <w:proofErr w:type="gramEnd"/>
    </w:p>
    <w:p w:rsidR="000807F4" w:rsidRDefault="000807F4" w:rsidP="000807F4">
      <w:pPr>
        <w:widowControl w:val="0"/>
        <w:tabs>
          <w:tab w:val="left" w:pos="-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0494">
        <w:rPr>
          <w:rFonts w:ascii="Times New Roman" w:eastAsia="Times New Roman" w:hAnsi="Times New Roman" w:cs="Times New Roman"/>
          <w:sz w:val="28"/>
          <w:szCs w:val="28"/>
        </w:rPr>
        <w:t>В нарушении п. 5.4 Положения о комиссии по исчислению стажа для выплаты ежемесячной надбавки за выслугу лет к должностному окладу работникам муниципального бюджетного учреждения «Дорожно-хозяйственное управление» Грачевского муниципального района Ставропольского края без протокола комиссии были установлены выплаты за стаж  пятерым работникам Учреждения.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8C">
        <w:rPr>
          <w:rFonts w:ascii="Times New Roman" w:eastAsia="Times New Roman" w:hAnsi="Times New Roman" w:cs="Times New Roman"/>
          <w:sz w:val="28"/>
          <w:szCs w:val="28"/>
        </w:rPr>
        <w:t>В ходе проверки доходов, полученных от предпринимательской и иной приносящей доход деятельности учреждения, установлены нарушения при применении норм, расценок и коэффициентов при определении сметной стоимости объектов ремонта, проводимых  МБУ «ДХУ»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Общая сумма нарушений при составлении локальных сметных расчетов составили      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70</w:t>
      </w:r>
      <w:r w:rsidR="00624D4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8C">
        <w:rPr>
          <w:rFonts w:ascii="Times New Roman" w:eastAsia="Times New Roman" w:hAnsi="Times New Roman" w:cs="Times New Roman"/>
          <w:sz w:val="28"/>
          <w:szCs w:val="28"/>
        </w:rPr>
        <w:t>В нарушение п. 1.10 Положения № 26 от 30.06.2020 и п. 1.4. Положения о премировании № 6 единовременные «премии за выполнение особо важных и срочных работ» не оформлялись Протоколом комиссии по распределению выплат стимулирующего характера и выплачивались только на основании приказа Учреждения. За период с 01.06.2020 по 31.08.2020 сумма выплат составила 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A8C">
        <w:rPr>
          <w:rFonts w:ascii="Times New Roman" w:eastAsia="Times New Roman" w:hAnsi="Times New Roman" w:cs="Times New Roman"/>
          <w:sz w:val="28"/>
          <w:szCs w:val="28"/>
        </w:rPr>
        <w:t>Без решения комиссии по распределению стимулирующих выплат, по итогам работы за 3 квартал 2020 года на основании приказа Учреждения от 30.09.2020  № 63  «О премировании по итогам работы за 3 квартал 2020 г.» работникам МКУ «ДХУ» начислена премия и произведены выплаты в сумме 299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725A8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4D1">
        <w:rPr>
          <w:rFonts w:ascii="Times New Roman" w:eastAsia="Times New Roman" w:hAnsi="Times New Roman" w:cs="Times New Roman"/>
          <w:sz w:val="28"/>
          <w:szCs w:val="28"/>
        </w:rPr>
        <w:t>В 2020 году  кассиру на 0,25 ст., была начислена премия за выполнение особо важных и срочных работ в июне и июле в размере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тыс. </w:t>
      </w:r>
      <w:r w:rsidRPr="009C54D1">
        <w:rPr>
          <w:rFonts w:ascii="Times New Roman" w:eastAsia="Times New Roman" w:hAnsi="Times New Roman" w:cs="Times New Roman"/>
          <w:sz w:val="28"/>
          <w:szCs w:val="28"/>
        </w:rPr>
        <w:t>рублей и 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54D1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9C54D1">
        <w:rPr>
          <w:rFonts w:ascii="Times New Roman" w:eastAsia="Times New Roman" w:hAnsi="Times New Roman" w:cs="Times New Roman"/>
          <w:sz w:val="28"/>
          <w:szCs w:val="28"/>
        </w:rPr>
        <w:t xml:space="preserve"> рублей соответственно. В нарушение п. 7. Положения об оплате труда работников № 5, одновременно с премией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</w:t>
      </w:r>
      <w:r w:rsidRPr="009C54D1">
        <w:rPr>
          <w:rFonts w:ascii="Times New Roman" w:eastAsia="Times New Roman" w:hAnsi="Times New Roman" w:cs="Times New Roman"/>
          <w:sz w:val="28"/>
          <w:szCs w:val="28"/>
        </w:rPr>
        <w:t xml:space="preserve"> начислена доплата </w:t>
      </w:r>
      <w:proofErr w:type="gramStart"/>
      <w:r w:rsidRPr="009C54D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C5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54D1">
        <w:rPr>
          <w:rFonts w:ascii="Times New Roman" w:eastAsia="Times New Roman" w:hAnsi="Times New Roman" w:cs="Times New Roman"/>
          <w:sz w:val="28"/>
          <w:szCs w:val="28"/>
        </w:rPr>
        <w:t>МРОТ</w:t>
      </w:r>
      <w:proofErr w:type="gramEnd"/>
      <w:r w:rsidRPr="009C54D1">
        <w:rPr>
          <w:rFonts w:ascii="Times New Roman" w:eastAsia="Times New Roman" w:hAnsi="Times New Roman" w:cs="Times New Roman"/>
          <w:sz w:val="28"/>
          <w:szCs w:val="28"/>
        </w:rPr>
        <w:t xml:space="preserve"> (в июне – 832,50 рублей, в июле – 491,93 рублей), общая сумма составила 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54D1"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9C54D1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3. </w:t>
      </w:r>
      <w:r w:rsidRPr="005161EE"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Проверка порядка предоставления услуг по вывозу жидких бытовых отходов муниципальных бюджетным учреждением «Дорожно-</w:t>
      </w:r>
      <w:r w:rsidRPr="005161E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хозяйственное управление» Грачевского муниципального округа Ставропольского края за период с 01.06.2020 по 30.06.2021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807F4" w:rsidRPr="00437E8F" w:rsidRDefault="000807F4" w:rsidP="000807F4">
      <w:pPr>
        <w:widowControl w:val="0"/>
        <w:tabs>
          <w:tab w:val="left" w:pos="-680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A3842">
        <w:rPr>
          <w:rFonts w:ascii="Times New Roman" w:eastAsia="Times New Roman" w:hAnsi="Times New Roman" w:cs="Times New Roman"/>
          <w:sz w:val="28"/>
          <w:szCs w:val="28"/>
        </w:rPr>
        <w:t xml:space="preserve">Объем проверенных средств </w:t>
      </w:r>
      <w:r w:rsidRPr="00FB2D11">
        <w:rPr>
          <w:rFonts w:ascii="Times New Roman" w:eastAsia="Times New Roman" w:hAnsi="Times New Roman" w:cs="Times New Roman"/>
          <w:sz w:val="28"/>
          <w:szCs w:val="28"/>
        </w:rPr>
        <w:t>составил  948,51 тыс</w:t>
      </w:r>
      <w:r w:rsidRPr="00FA3842">
        <w:rPr>
          <w:rFonts w:ascii="Times New Roman" w:eastAsia="Times New Roman" w:hAnsi="Times New Roman" w:cs="Times New Roman"/>
          <w:sz w:val="28"/>
          <w:szCs w:val="28"/>
        </w:rPr>
        <w:t xml:space="preserve">. рублей. </w:t>
      </w:r>
    </w:p>
    <w:p w:rsidR="000807F4" w:rsidRPr="00C84077" w:rsidRDefault="000807F4" w:rsidP="000807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D4B">
        <w:rPr>
          <w:rFonts w:ascii="Times New Roman" w:eastAsia="Times New Roman" w:hAnsi="Times New Roman" w:cs="Times New Roman"/>
          <w:sz w:val="28"/>
          <w:szCs w:val="28"/>
        </w:rPr>
        <w:t>В ходе проверки были выявлены нарушения бюджетного законодательства, федерального закона от 16.12.2011 № 402-ФЗ "О бухгалтерском учете", Инструкции № 157н, Указаний № 52н,  других нормативно-правовых актов РФ, СК и муниципальных правовых актов.</w:t>
      </w:r>
    </w:p>
    <w:p w:rsidR="000807F4" w:rsidRPr="00C84077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FB3943">
        <w:rPr>
          <w:rFonts w:ascii="Times New Roman" w:eastAsia="Times New Roman" w:hAnsi="Times New Roman" w:cs="Times New Roman"/>
          <w:sz w:val="28"/>
          <w:szCs w:val="28"/>
        </w:rPr>
        <w:t xml:space="preserve">Всего в ходе проверки выявлено нарушений финансовой дисциплины на сумму 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>196,44</w:t>
      </w:r>
      <w:r w:rsidRPr="00FB394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0807F4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680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B3592">
        <w:rPr>
          <w:rFonts w:ascii="Times New Roman" w:eastAsia="Times New Roman" w:hAnsi="Times New Roman" w:cs="Times New Roman"/>
          <w:i/>
          <w:sz w:val="28"/>
          <w:szCs w:val="28"/>
        </w:rPr>
        <w:t xml:space="preserve">- Нарушения ведения бухгалтерского учета, составления и представления бухгалтерской (финансовой) отчетности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1B359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161EE">
        <w:rPr>
          <w:rFonts w:ascii="Times New Roman" w:eastAsia="Times New Roman" w:hAnsi="Times New Roman" w:cs="Times New Roman"/>
          <w:i/>
          <w:sz w:val="28"/>
          <w:szCs w:val="28"/>
        </w:rPr>
        <w:t>87,63</w:t>
      </w:r>
      <w:r w:rsidRPr="001B3592">
        <w:rPr>
          <w:rFonts w:ascii="Times New Roman" w:eastAsia="Times New Roman" w:hAnsi="Times New Roman" w:cs="Times New Roman"/>
          <w:i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(181</w:t>
      </w:r>
      <w:r w:rsidRPr="00A470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нарушений, из них 1 –  не имеет стоимостной оценки)</w:t>
      </w:r>
      <w:r w:rsidRPr="001B359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07F4" w:rsidRPr="005161EE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EE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 xml:space="preserve"> правильности списания горюче-смазочных материалов по служебн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 xml:space="preserve"> автомобил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ям, используемым для оказания услуг 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услуги по вывозу сточных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ГАЗ 3307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ГАЗ 1804 WR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в целях списания ГСМ в МБУ «ДХУ» применялась норма расхода на выполняемую операцию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для автомобиля 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ГАЗ 3307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>– «норма расхода на 1 рейс – 0,7 литра»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для автомобиля 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ГАЗ 1804 WR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«норма расхода на 1 рейс – 0,86 литра»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Данные нормы расхода 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>использовалась для списания топлив</w:t>
      </w:r>
      <w:r>
        <w:rPr>
          <w:rFonts w:ascii="Times New Roman" w:eastAsia="Times New Roman" w:hAnsi="Times New Roman" w:cs="Times New Roman"/>
          <w:sz w:val="28"/>
          <w:szCs w:val="28"/>
        </w:rPr>
        <w:t>а на процесс заполнения цистерн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>. При этом Приказом № 10/1 нормы расхода топлив на выполняемую операц</w:t>
      </w:r>
      <w:r>
        <w:rPr>
          <w:rFonts w:ascii="Times New Roman" w:eastAsia="Times New Roman" w:hAnsi="Times New Roman" w:cs="Times New Roman"/>
          <w:sz w:val="28"/>
          <w:szCs w:val="28"/>
        </w:rPr>
        <w:t>ию (заполнение цистерны и т.п.)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 xml:space="preserve"> не утверждены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 xml:space="preserve"> Какой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 xml:space="preserve">либо иной нормативный акт, утверждающий «норму расхода на 1 рейс» в Учреждении также отсутствует. 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1EE">
        <w:rPr>
          <w:rFonts w:ascii="Times New Roman" w:eastAsia="Times New Roman" w:hAnsi="Times New Roman" w:cs="Times New Roman"/>
          <w:sz w:val="28"/>
          <w:szCs w:val="28"/>
        </w:rPr>
        <w:t>Согласно произведенным Контрольно-счетной комиссией расчетам нормативного расхода топлива для автомобиля ГАЗ 3307, совокупный объем излишне списанного топлива за период с 01.06.2020 по 30.06.2021 составил 20,52 литра на сумму 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5161E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15">
        <w:rPr>
          <w:rFonts w:ascii="Times New Roman" w:eastAsia="Times New Roman" w:hAnsi="Times New Roman" w:cs="Times New Roman"/>
          <w:sz w:val="28"/>
          <w:szCs w:val="28"/>
        </w:rPr>
        <w:t>Согласно произведенным Контрольно-счетной комиссией расчетам нормативного расхода топлива для автомобиля ГАЗ 1804WR, совокупный объем излишне списанного топлива за период с 01.06.2020 по 30.06.2021 составил 857,95 литра на сумму 39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F15">
        <w:rPr>
          <w:rFonts w:ascii="Times New Roman" w:eastAsia="Times New Roman" w:hAnsi="Times New Roman" w:cs="Times New Roman"/>
          <w:sz w:val="28"/>
          <w:szCs w:val="28"/>
        </w:rPr>
        <w:t>В ходе контрольного мероприятия, при проведении  сверки показания спидометра автомобиля ГАЗ 1804 WR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установлены расхождения между фактическими показаниями спидометра на 24 августа 2021 года и данными путевого листа по состоянию на 30.06.2021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Нарушение  выразилось в виде необоснованно списанного бензина за пробег автотранспортного средства, не подтвержденный показаниями спидометра в объеме 965,352 л. на сумму 46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624D4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Pr="00554E82" w:rsidRDefault="000807F4" w:rsidP="000807F4">
      <w:pPr>
        <w:widowControl w:val="0"/>
        <w:tabs>
          <w:tab w:val="left" w:pos="-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4E82">
        <w:rPr>
          <w:rFonts w:ascii="Times New Roman" w:eastAsia="Times New Roman" w:hAnsi="Times New Roman" w:cs="Times New Roman"/>
          <w:i/>
          <w:sz w:val="28"/>
          <w:szCs w:val="28"/>
        </w:rPr>
        <w:t xml:space="preserve">- Иные нарушения – </w:t>
      </w:r>
      <w:r w:rsidRPr="00537F15">
        <w:rPr>
          <w:rFonts w:ascii="Times New Roman" w:eastAsia="Times New Roman" w:hAnsi="Times New Roman" w:cs="Times New Roman"/>
          <w:i/>
          <w:sz w:val="28"/>
          <w:szCs w:val="28"/>
        </w:rPr>
        <w:t>108,81</w:t>
      </w:r>
      <w:r w:rsidRPr="00554E82">
        <w:rPr>
          <w:rFonts w:ascii="Times New Roman" w:eastAsia="Times New Roman" w:hAnsi="Times New Roman" w:cs="Times New Roman"/>
          <w:i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(109</w:t>
      </w:r>
      <w:r w:rsidRPr="00A470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нарушений)</w:t>
      </w:r>
      <w:r w:rsidRPr="00554E8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7F15">
        <w:rPr>
          <w:rFonts w:ascii="Times New Roman" w:eastAsia="Times New Roman" w:hAnsi="Times New Roman" w:cs="Times New Roman"/>
          <w:sz w:val="28"/>
          <w:szCs w:val="28"/>
        </w:rPr>
        <w:t>В ходе сверки данных об объеме оказанных услуг юридическим лицам в период с 1 июня по 31 декабря 2020 года по вывозу сточных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отраженных в  путевых листах 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 xml:space="preserve">и в актах об оказании услуг (журнал операций № 5), 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расхождени</w:t>
      </w:r>
      <w:r>
        <w:rPr>
          <w:rFonts w:ascii="Times New Roman" w:eastAsia="Times New Roman" w:hAnsi="Times New Roman" w:cs="Times New Roman"/>
          <w:sz w:val="28"/>
          <w:szCs w:val="28"/>
        </w:rPr>
        <w:t>е в выразившееся в том, что ф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актически расчетная стоимость услуг по вывозу сточных вод, согласно данным путевых листов о количестве совершенных рейсов</w:t>
      </w:r>
      <w:proofErr w:type="gramEnd"/>
      <w:r w:rsidRPr="00537F1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537F15">
        <w:rPr>
          <w:rFonts w:ascii="Times New Roman" w:eastAsia="Times New Roman" w:hAnsi="Times New Roman" w:cs="Times New Roman"/>
          <w:sz w:val="28"/>
          <w:szCs w:val="28"/>
        </w:rPr>
        <w:t>объеме</w:t>
      </w:r>
      <w:proofErr w:type="gramEnd"/>
      <w:r w:rsidRPr="00537F15">
        <w:rPr>
          <w:rFonts w:ascii="Times New Roman" w:eastAsia="Times New Roman" w:hAnsi="Times New Roman" w:cs="Times New Roman"/>
          <w:sz w:val="28"/>
          <w:szCs w:val="28"/>
        </w:rPr>
        <w:t xml:space="preserve"> вывезенных сточных вод, в период с 1 июня по 31 декабря 2020 года, меньше суммы, указанной в Актах об оказании услуг на 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537F1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37">
        <w:rPr>
          <w:rFonts w:ascii="Times New Roman" w:eastAsia="Times New Roman" w:hAnsi="Times New Roman" w:cs="Times New Roman"/>
          <w:sz w:val="28"/>
          <w:szCs w:val="28"/>
        </w:rPr>
        <w:t xml:space="preserve">В ходе сверки данных об объеме оказанных услуг юридическим лицам в </w:t>
      </w:r>
      <w:r>
        <w:rPr>
          <w:rFonts w:ascii="Times New Roman" w:eastAsia="Times New Roman" w:hAnsi="Times New Roman" w:cs="Times New Roman"/>
          <w:sz w:val="28"/>
          <w:szCs w:val="28"/>
        </w:rPr>
        <w:t>2020 году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 xml:space="preserve"> по вывозу сточных вод, отраженных в  путевых листах и в актах об оказании услуг (журнал операций № 5),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несоответствие  на общую сумму 27,69 тыс. рублей.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37">
        <w:rPr>
          <w:rFonts w:ascii="Times New Roman" w:eastAsia="Times New Roman" w:hAnsi="Times New Roman" w:cs="Times New Roman"/>
          <w:sz w:val="28"/>
          <w:szCs w:val="28"/>
        </w:rPr>
        <w:t xml:space="preserve">В ходе сверки данных об объеме оказанных услуг юридическим лицам в I полугодии 2021 года по вывозу сточных вод, отраженных в  путевых листах и в актах об оказании услуг (журнал операций № 5), </w:t>
      </w:r>
      <w:r w:rsidRPr="00F464F2">
        <w:rPr>
          <w:rFonts w:ascii="Times New Roman" w:eastAsia="Times New Roman" w:hAnsi="Times New Roman" w:cs="Times New Roman"/>
          <w:sz w:val="28"/>
          <w:szCs w:val="28"/>
        </w:rPr>
        <w:t xml:space="preserve">установлено несоответствие  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20,44</w:t>
      </w:r>
      <w:r w:rsidRPr="00F464F2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4F37">
        <w:rPr>
          <w:rFonts w:ascii="Times New Roman" w:eastAsia="Times New Roman" w:hAnsi="Times New Roman" w:cs="Times New Roman"/>
          <w:sz w:val="28"/>
          <w:szCs w:val="28"/>
        </w:rPr>
        <w:t>Сверка  данных об объеме оказанных услуг потребителям-физическим лицам (далее - население) в период с 1 июня по 31 декабря 2020 года по вывозу сточных вод, отраженных в путевых листах и данных по поступлению доходов за оказанные услуги населению показала, что объем поступившей от населения платы за услуги по вывозу сточных вод в 2020 году составил 107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>93</w:t>
      </w:r>
      <w:r w:rsidR="00624D4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 xml:space="preserve"> рублей, тогда как фактически</w:t>
      </w:r>
      <w:proofErr w:type="gramEnd"/>
      <w:r w:rsidRPr="00BF4F37">
        <w:rPr>
          <w:rFonts w:ascii="Times New Roman" w:eastAsia="Times New Roman" w:hAnsi="Times New Roman" w:cs="Times New Roman"/>
          <w:sz w:val="28"/>
          <w:szCs w:val="28"/>
        </w:rPr>
        <w:t xml:space="preserve"> Учреждением оказано услуг, согласно данным путевых листов, на 71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 тыс.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(сумма отклонения – 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рулей)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 xml:space="preserve"> ходе контрольного мероприятия установлено, что в период с 1 июня по 31 декабря 2020 года для </w:t>
      </w:r>
      <w:proofErr w:type="gramStart"/>
      <w:r w:rsidRPr="00BF4F37">
        <w:rPr>
          <w:rFonts w:ascii="Times New Roman" w:eastAsia="Times New Roman" w:hAnsi="Times New Roman" w:cs="Times New Roman"/>
          <w:sz w:val="28"/>
          <w:szCs w:val="28"/>
        </w:rPr>
        <w:t>потребителей-физических</w:t>
      </w:r>
      <w:proofErr w:type="gramEnd"/>
      <w:r w:rsidRPr="00BF4F37">
        <w:rPr>
          <w:rFonts w:ascii="Times New Roman" w:eastAsia="Times New Roman" w:hAnsi="Times New Roman" w:cs="Times New Roman"/>
          <w:sz w:val="28"/>
          <w:szCs w:val="28"/>
        </w:rPr>
        <w:t xml:space="preserve"> лиц при расчете стоимости оказанных услуг по вывозу сточных вод, объем цистерны автомобиля ГАЗ 1804 WR принимался за 3,6 м</w:t>
      </w:r>
      <w:r w:rsidRPr="00BF4F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>. При этом</w:t>
      </w:r>
      <w:proofErr w:type="gramStart"/>
      <w:r w:rsidRPr="00BF4F3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F4F37">
        <w:rPr>
          <w:rFonts w:ascii="Times New Roman" w:eastAsia="Times New Roman" w:hAnsi="Times New Roman" w:cs="Times New Roman"/>
          <w:sz w:val="28"/>
          <w:szCs w:val="28"/>
        </w:rPr>
        <w:t xml:space="preserve"> согласно путевым листам, а также ежемесячным отчетам заведующего складом о движении горюче-смазочных материалов по служебному автомобилю ГАЗ 1804 WR, объем оборудования составляет 4,0 м</w:t>
      </w:r>
      <w:r w:rsidRPr="00BF4F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>В результате занижения объема автоцистерны при расчете стоимости оказанных физическим лицам услуг по вывозу сточных вод за период с 1 июня по 31 декабря 2020 года Учреждением  недополучено доходов в сумме  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BF4F37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F37">
        <w:rPr>
          <w:rFonts w:ascii="Times New Roman" w:eastAsia="Times New Roman" w:hAnsi="Times New Roman" w:cs="Times New Roman"/>
          <w:sz w:val="28"/>
          <w:szCs w:val="28"/>
        </w:rPr>
        <w:t>В ходе сверки данных об объеме оказанных услуг юридическим лицам в I полугодии 2021 года по вывозу сточных вод, отраженных в путевых листах, отраженных в  путевых листах и в актах об оказании услуг (журнал операций № 5), установлены расхождения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14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Pr="00C84077" w:rsidRDefault="000807F4" w:rsidP="000807F4">
      <w:pPr>
        <w:widowControl w:val="0"/>
        <w:tabs>
          <w:tab w:val="left" w:pos="-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r w:rsidRPr="002C1F76">
        <w:rPr>
          <w:rFonts w:ascii="Times New Roman" w:eastAsia="Times New Roman" w:hAnsi="Times New Roman" w:cs="Times New Roman"/>
          <w:b/>
          <w:i/>
          <w:sz w:val="28"/>
          <w:szCs w:val="28"/>
        </w:rPr>
        <w:t>Аудит в сфере закупок для обеспечения муниципальных нужд муниципального казенного учреждения "Центр хозяйственного обслуживания" Грачевского муниципального округа Ставропольского края за 2020 год и истекший период 2021 года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0807F4" w:rsidRPr="00C84077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43">
        <w:rPr>
          <w:rFonts w:ascii="Times New Roman" w:eastAsia="Times New Roman" w:hAnsi="Times New Roman" w:cs="Times New Roman"/>
          <w:sz w:val="28"/>
          <w:szCs w:val="28"/>
        </w:rPr>
        <w:t xml:space="preserve">Объем проверенных средств </w:t>
      </w:r>
      <w:r w:rsidRPr="00FA3842">
        <w:rPr>
          <w:rFonts w:ascii="Times New Roman" w:eastAsia="Times New Roman" w:hAnsi="Times New Roman" w:cs="Times New Roman"/>
          <w:sz w:val="28"/>
          <w:szCs w:val="28"/>
        </w:rPr>
        <w:t xml:space="preserve">составил  </w:t>
      </w:r>
      <w:r>
        <w:rPr>
          <w:rFonts w:ascii="Times New Roman" w:eastAsia="Times New Roman" w:hAnsi="Times New Roman" w:cs="Times New Roman"/>
          <w:sz w:val="28"/>
          <w:szCs w:val="28"/>
        </w:rPr>
        <w:t>3 259,42</w:t>
      </w:r>
      <w:r w:rsidRPr="00FA3842">
        <w:rPr>
          <w:rFonts w:ascii="Times New Roman" w:eastAsia="Times New Roman" w:hAnsi="Times New Roman" w:cs="Times New Roman"/>
          <w:sz w:val="28"/>
          <w:szCs w:val="28"/>
        </w:rPr>
        <w:t xml:space="preserve"> тыс. рублей. </w:t>
      </w:r>
    </w:p>
    <w:p w:rsidR="000807F4" w:rsidRPr="00C84077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A6E56">
        <w:rPr>
          <w:rFonts w:ascii="Times New Roman" w:eastAsia="Times New Roman" w:hAnsi="Times New Roman" w:cs="Times New Roman"/>
          <w:sz w:val="28"/>
          <w:szCs w:val="28"/>
        </w:rPr>
        <w:t>В ходе проверки были выявлены нарушения Фе</w:t>
      </w:r>
      <w:r>
        <w:rPr>
          <w:rFonts w:ascii="Times New Roman" w:eastAsia="Times New Roman" w:hAnsi="Times New Roman" w:cs="Times New Roman"/>
          <w:sz w:val="28"/>
          <w:szCs w:val="28"/>
        </w:rPr>
        <w:t>дерального закон от 05.04.2013 №</w:t>
      </w:r>
      <w:r w:rsidRPr="004A6E56">
        <w:rPr>
          <w:rFonts w:ascii="Times New Roman" w:eastAsia="Times New Roman" w:hAnsi="Times New Roman" w:cs="Times New Roman"/>
          <w:sz w:val="28"/>
          <w:szCs w:val="28"/>
        </w:rPr>
        <w:t xml:space="preserve"> 44-ФЗ "О контрактной системе в сфере закупок</w:t>
      </w:r>
      <w:r w:rsidRPr="004A35E9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</w:t>
      </w:r>
      <w:r w:rsidRPr="004A6E56">
        <w:rPr>
          <w:rFonts w:ascii="Times New Roman" w:eastAsia="Times New Roman" w:hAnsi="Times New Roman" w:cs="Times New Roman"/>
          <w:sz w:val="28"/>
          <w:szCs w:val="28"/>
        </w:rPr>
        <w:t>нужд".</w:t>
      </w:r>
    </w:p>
    <w:p w:rsidR="000807F4" w:rsidRPr="00C84077" w:rsidRDefault="000807F4" w:rsidP="000807F4">
      <w:pPr>
        <w:widowControl w:val="0"/>
        <w:tabs>
          <w:tab w:val="left" w:pos="851"/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43">
        <w:rPr>
          <w:rFonts w:ascii="Times New Roman" w:eastAsia="Times New Roman" w:hAnsi="Times New Roman" w:cs="Times New Roman"/>
          <w:sz w:val="28"/>
          <w:szCs w:val="28"/>
        </w:rPr>
        <w:t xml:space="preserve">Всего в ходе проверки выявлено нарушений </w:t>
      </w:r>
      <w:r w:rsidRPr="001040FE">
        <w:rPr>
          <w:rFonts w:ascii="Times New Roman" w:eastAsia="Times New Roman" w:hAnsi="Times New Roman" w:cs="Times New Roman"/>
          <w:sz w:val="28"/>
          <w:szCs w:val="28"/>
        </w:rPr>
        <w:t>при осуществлении государственных (муниципальных) закупок и закупок отдельными видами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3943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Pr="00603965">
        <w:rPr>
          <w:rFonts w:ascii="Times New Roman" w:eastAsia="Times New Roman" w:hAnsi="Times New Roman" w:cs="Times New Roman"/>
          <w:sz w:val="28"/>
          <w:szCs w:val="28"/>
        </w:rPr>
        <w:t>209,65</w:t>
      </w:r>
      <w:r w:rsidRPr="00FB394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0807F4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7F4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03965">
        <w:rPr>
          <w:rFonts w:ascii="Times New Roman" w:eastAsia="Times New Roman" w:hAnsi="Times New Roman" w:cs="Times New Roman"/>
          <w:i/>
          <w:sz w:val="28"/>
          <w:szCs w:val="28"/>
        </w:rPr>
        <w:t>- Нарушения при осуществлении государственных (муниципальных) закупок и закупок отдельными видами юридических лиц – 209,65 тыс. рублей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(7</w:t>
      </w:r>
      <w:r w:rsidRPr="00A470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нарушений, из них 6 –  не имеющие стоимостной оценки)</w:t>
      </w:r>
      <w:r w:rsidRPr="00603965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807F4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42E7">
        <w:rPr>
          <w:rFonts w:ascii="Times New Roman" w:eastAsia="Times New Roman" w:hAnsi="Times New Roman" w:cs="Times New Roman"/>
          <w:sz w:val="28"/>
          <w:szCs w:val="28"/>
        </w:rPr>
        <w:t xml:space="preserve">В нарушение ч. 6 ст. 16 Закона № 44-ФЗ и </w:t>
      </w:r>
      <w:proofErr w:type="spellStart"/>
      <w:r w:rsidRPr="00F242E7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F242E7">
        <w:rPr>
          <w:rFonts w:ascii="Times New Roman" w:eastAsia="Times New Roman" w:hAnsi="Times New Roman" w:cs="Times New Roman"/>
          <w:sz w:val="28"/>
          <w:szCs w:val="28"/>
        </w:rPr>
        <w:t>. «а» п.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РФ от 30.09.2019 № 1279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2E7">
        <w:rPr>
          <w:rFonts w:ascii="Times New Roman" w:eastAsia="Times New Roman" w:hAnsi="Times New Roman" w:cs="Times New Roman"/>
          <w:sz w:val="28"/>
          <w:szCs w:val="28"/>
        </w:rPr>
        <w:t>план-график на 2021 год</w:t>
      </w:r>
      <w:proofErr w:type="gramEnd"/>
      <w:r w:rsidRPr="00F24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42E7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proofErr w:type="gramEnd"/>
      <w:r w:rsidRPr="00F242E7">
        <w:rPr>
          <w:rFonts w:ascii="Times New Roman" w:eastAsia="Times New Roman" w:hAnsi="Times New Roman" w:cs="Times New Roman"/>
          <w:sz w:val="28"/>
          <w:szCs w:val="28"/>
        </w:rPr>
        <w:t xml:space="preserve"> и размещен Учреждением с нарушением установленного срока на 12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Pr="00F242E7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E7">
        <w:rPr>
          <w:rFonts w:ascii="Times New Roman" w:eastAsia="Times New Roman" w:hAnsi="Times New Roman" w:cs="Times New Roman"/>
          <w:sz w:val="28"/>
          <w:szCs w:val="28"/>
        </w:rPr>
        <w:t xml:space="preserve">Также в ходе анализа плана-графика Учреждения установлено превышение годового объема закупок, которые заказчик вправе осуществлять на основании п. 4 ч.1 ст. 93 Закона № 44-ФЗ на 643 664,05 рублей. </w:t>
      </w:r>
    </w:p>
    <w:p w:rsidR="000807F4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E7">
        <w:rPr>
          <w:rFonts w:ascii="Times New Roman" w:eastAsia="Times New Roman" w:hAnsi="Times New Roman" w:cs="Times New Roman"/>
          <w:sz w:val="28"/>
          <w:szCs w:val="28"/>
        </w:rPr>
        <w:t>При этом фактически Учреждением на момент проверки произведено закупок малого объема на сумму 2 209 646,66 рублей, что превышает максимально допустимый размер закупок малого объема на 209 646,66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42E7">
        <w:rPr>
          <w:rFonts w:ascii="Times New Roman" w:eastAsia="Times New Roman" w:hAnsi="Times New Roman" w:cs="Times New Roman"/>
          <w:sz w:val="28"/>
          <w:szCs w:val="28"/>
        </w:rPr>
        <w:t>В ходе проверки сведений, содержащихся в едином реестре государственных и муниципальных контрактов в ЕИС Закупки, установлено, что, в нарушение ст. 103 Закона № 44-ФЗ, пунктов 2,3 Правил ведения реестра контрактов, заключенных заказчиками, установленных постановлением Правительства РФ от 28.11.2013 № 1084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2E7">
        <w:rPr>
          <w:rFonts w:ascii="Times New Roman" w:eastAsia="Times New Roman" w:hAnsi="Times New Roman" w:cs="Times New Roman"/>
          <w:sz w:val="28"/>
          <w:szCs w:val="28"/>
        </w:rPr>
        <w:t>в реестре контрактов отсутствует информация о заключении и об исполнении контрактов № 238 от 01.04.2021 и № 238 от 23.09.2021, заключенных МКУ «ЦХО»  с</w:t>
      </w:r>
      <w:proofErr w:type="gramEnd"/>
      <w:r w:rsidRPr="00F242E7">
        <w:rPr>
          <w:rFonts w:ascii="Times New Roman" w:eastAsia="Times New Roman" w:hAnsi="Times New Roman" w:cs="Times New Roman"/>
          <w:sz w:val="28"/>
          <w:szCs w:val="28"/>
        </w:rPr>
        <w:t xml:space="preserve"> ГУП СК «Ставропольский краевой теплоэнергетический комплекс» на общую сумму 516 60,46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07F4" w:rsidRPr="001B1393" w:rsidRDefault="000807F4" w:rsidP="000807F4">
      <w:pPr>
        <w:widowControl w:val="0"/>
        <w:tabs>
          <w:tab w:val="left" w:pos="-6804"/>
          <w:tab w:val="left" w:pos="-66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E7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установлено, что Учреждением допускались случаи заключения договоров с единственным поставщиком на основании п. 4 ч.1 ст. 93 Закона № 44-ФЗ, содержащих условия о сроках оплаты товара, работы или услуги не соответствующие требованиям ч. 13.1 ст. 34 Закона № 44-ФЗ (Всего 3 договора на общую сумму 133 370,00 рублей).</w:t>
      </w:r>
    </w:p>
    <w:p w:rsidR="00DE5A27" w:rsidRDefault="00DE5A27" w:rsidP="004E5B6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BAB" w:rsidRPr="002F6538" w:rsidRDefault="00DE5A27" w:rsidP="004E5B6C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E1BAB" w:rsidRPr="002F6538">
        <w:rPr>
          <w:rFonts w:ascii="Times New Roman" w:hAnsi="Times New Roman" w:cs="Times New Roman"/>
          <w:b/>
          <w:sz w:val="28"/>
          <w:szCs w:val="28"/>
        </w:rPr>
        <w:t>. Итоги экспертно-аналитической деятельности</w:t>
      </w:r>
    </w:p>
    <w:p w:rsidR="00F05840" w:rsidRDefault="00F05840" w:rsidP="004E5B6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 xml:space="preserve">Основная задача Контрольно-счетной комиссии при осуществлении экспертно-аналитической деятельности - обеспечение и развитие единой системы </w:t>
      </w:r>
      <w:proofErr w:type="gramStart"/>
      <w:r w:rsidRPr="003B486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486E">
        <w:rPr>
          <w:rFonts w:ascii="Times New Roman" w:hAnsi="Times New Roman" w:cs="Times New Roman"/>
          <w:sz w:val="28"/>
          <w:szCs w:val="28"/>
        </w:rPr>
        <w:t xml:space="preserve"> формированием и исполнением бюджета Грачевского муниципального округа, осуществляемой в рамках полномочий Контрольно-счетной комиссии.</w:t>
      </w:r>
    </w:p>
    <w:p w:rsidR="003B486E" w:rsidRPr="003B486E" w:rsidRDefault="003B486E" w:rsidP="00AF2B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 xml:space="preserve">В 2021 году в рамках экспертно-аналитической деятельности проводился предварительный, оперативный и последующий </w:t>
      </w:r>
      <w:proofErr w:type="gramStart"/>
      <w:r w:rsidRPr="003B486E">
        <w:rPr>
          <w:rFonts w:ascii="Times New Roman" w:hAnsi="Times New Roman" w:cs="Times New Roman"/>
          <w:sz w:val="28"/>
          <w:szCs w:val="28"/>
        </w:rPr>
        <w:t>контрол</w:t>
      </w:r>
      <w:r w:rsidR="00375771">
        <w:rPr>
          <w:rFonts w:ascii="Times New Roman" w:hAnsi="Times New Roman" w:cs="Times New Roman"/>
          <w:sz w:val="28"/>
          <w:szCs w:val="28"/>
        </w:rPr>
        <w:t>ь</w:t>
      </w:r>
      <w:r w:rsidRPr="003B486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B486E">
        <w:rPr>
          <w:rFonts w:ascii="Times New Roman" w:hAnsi="Times New Roman" w:cs="Times New Roman"/>
          <w:sz w:val="28"/>
          <w:szCs w:val="28"/>
        </w:rPr>
        <w:t xml:space="preserve"> формированием и </w:t>
      </w:r>
      <w:r w:rsidRPr="003B486E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исполнением бюджета Грачевского муниципального округа  (далее – бюджет муниципального округа), </w:t>
      </w:r>
      <w:r w:rsidR="00AF2B7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AF2B70" w:rsidRPr="00AF2B70">
        <w:rPr>
          <w:rFonts w:ascii="Times New Roman" w:hAnsi="Times New Roman" w:cs="Times New Roman"/>
          <w:sz w:val="28"/>
          <w:szCs w:val="28"/>
        </w:rPr>
        <w:t>поступивших на экспертизу законопроектов</w:t>
      </w:r>
      <w:r w:rsidR="00AF2B70">
        <w:rPr>
          <w:rFonts w:ascii="Times New Roman" w:hAnsi="Times New Roman" w:cs="Times New Roman"/>
          <w:sz w:val="28"/>
          <w:szCs w:val="28"/>
        </w:rPr>
        <w:t xml:space="preserve"> </w:t>
      </w:r>
      <w:r w:rsidR="00AF2B70" w:rsidRPr="00AF2B70">
        <w:rPr>
          <w:rFonts w:ascii="Times New Roman" w:hAnsi="Times New Roman" w:cs="Times New Roman"/>
          <w:sz w:val="28"/>
          <w:szCs w:val="28"/>
        </w:rPr>
        <w:t>и иных нормативных правовых актов</w:t>
      </w:r>
      <w:r w:rsidRPr="003B486E">
        <w:rPr>
          <w:rFonts w:ascii="Times New Roman" w:hAnsi="Times New Roman" w:cs="Times New Roman"/>
          <w:sz w:val="28"/>
          <w:szCs w:val="28"/>
        </w:rPr>
        <w:t>, затрагивающих финансово-бюджетную сферу.</w:t>
      </w: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 xml:space="preserve">Результаты экспертно-аналитической деятельности за 2021 год представлены в таблице:                                                                                 </w:t>
      </w:r>
    </w:p>
    <w:p w:rsidR="003B486E" w:rsidRPr="003B486E" w:rsidRDefault="003B486E" w:rsidP="003B486E">
      <w:pPr>
        <w:widowControl w:val="0"/>
        <w:spacing w:after="0" w:line="240" w:lineRule="auto"/>
        <w:ind w:right="-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(количество единиц)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978"/>
      </w:tblGrid>
      <w:tr w:rsidR="00B70609" w:rsidRPr="003B486E" w:rsidTr="00D70D4B">
        <w:trPr>
          <w:trHeight w:val="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2021 год</w:t>
            </w:r>
          </w:p>
        </w:tc>
      </w:tr>
      <w:tr w:rsidR="00B70609" w:rsidRPr="003B486E" w:rsidTr="00D70D4B">
        <w:trPr>
          <w:trHeight w:val="2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609" w:rsidRPr="003B486E" w:rsidRDefault="00B70609" w:rsidP="00D70D4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Количество проведенных экспертно-ана</w:t>
            </w:r>
            <w:r w:rsidR="00D70D4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литических мероприятий, всего, </w:t>
            </w:r>
            <w:r w:rsidRPr="003B48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52</w:t>
            </w:r>
          </w:p>
        </w:tc>
      </w:tr>
      <w:tr w:rsidR="00B70609" w:rsidRPr="003B486E" w:rsidTr="00D70D4B">
        <w:trPr>
          <w:trHeight w:val="2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проектам решений о бюджете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70609" w:rsidRPr="003B486E" w:rsidTr="00D70D4B">
        <w:trPr>
          <w:trHeight w:val="2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бюджет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B70609" w:rsidRPr="003B486E" w:rsidTr="00D70D4B">
        <w:trPr>
          <w:trHeight w:val="2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ходе исполнения бюджета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70609" w:rsidRPr="003B486E" w:rsidTr="00D70D4B">
        <w:trPr>
          <w:trHeight w:val="2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внешняя проверка годовых отчетов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B70609" w:rsidRPr="003B486E" w:rsidTr="00D70D4B">
        <w:trPr>
          <w:trHeight w:val="2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3B48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по финансово-экономической экспертизе проектов муниципальных правовых актов (включая обоснованность финансово-экономических обоснований, всего, в том числе:</w:t>
            </w:r>
            <w:proofErr w:type="gramEnd"/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3B48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B70609" w:rsidRPr="003B486E" w:rsidTr="00D70D4B">
        <w:trPr>
          <w:trHeight w:val="2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экспертиза муниципальных программ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70609" w:rsidRPr="003B486E" w:rsidTr="00D70D4B">
        <w:trPr>
          <w:trHeight w:val="20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прочим мероприятиям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09" w:rsidRPr="003B486E" w:rsidRDefault="00B70609" w:rsidP="003B486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4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3B486E" w:rsidRPr="003B486E" w:rsidRDefault="003B486E" w:rsidP="003B486E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52 </w:t>
      </w:r>
      <w:proofErr w:type="gramStart"/>
      <w:r w:rsidRPr="003B486E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proofErr w:type="gramEnd"/>
      <w:r w:rsidRPr="003B486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70609">
        <w:rPr>
          <w:rFonts w:ascii="Times New Roman" w:hAnsi="Times New Roman" w:cs="Times New Roman"/>
          <w:sz w:val="28"/>
          <w:szCs w:val="28"/>
        </w:rPr>
        <w:t>я</w:t>
      </w:r>
      <w:r w:rsidRPr="003B486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>1 - по проекту решения о бюджете Грачевского муниципального округа Ставропольского края на 2022 год и плановый период 2023 и 2024 годов;</w:t>
      </w: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>10 - о внесении изменений в бюджет на 2021 год и плановый период 2022 и 2023 годов;</w:t>
      </w: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>3 - о ходе исполнения бюджета Грачевского муниципального округа;</w:t>
      </w: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>34 – внешняя проверка отчетов об исполнении бюджета Грачевского муниципального округа и бюджетов сельских поселений Грачевского района за 2020 год;</w:t>
      </w: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>4 - по прочим мероприятиям (экспертиза муниципальных правовых актов).</w:t>
      </w:r>
    </w:p>
    <w:p w:rsidR="003B486E" w:rsidRDefault="00AF2B70" w:rsidP="00AF2B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B70">
        <w:rPr>
          <w:rFonts w:ascii="Times New Roman" w:hAnsi="Times New Roman" w:cs="Times New Roman"/>
          <w:sz w:val="28"/>
          <w:szCs w:val="28"/>
        </w:rPr>
        <w:t>По итогам рассмотрения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F2B70">
        <w:rPr>
          <w:rFonts w:ascii="Times New Roman" w:hAnsi="Times New Roman" w:cs="Times New Roman"/>
          <w:sz w:val="28"/>
          <w:szCs w:val="28"/>
        </w:rPr>
        <w:t xml:space="preserve"> решений и иных нормативных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2B70">
        <w:rPr>
          <w:rFonts w:ascii="Times New Roman" w:hAnsi="Times New Roman" w:cs="Times New Roman"/>
          <w:sz w:val="28"/>
          <w:szCs w:val="28"/>
        </w:rPr>
        <w:t xml:space="preserve">а 2021 год подготовлено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AF2B70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AF2B70" w:rsidRPr="003B486E" w:rsidRDefault="00AF2B70" w:rsidP="00AF2B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86E" w:rsidRDefault="00A27357" w:rsidP="00A27357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7357">
        <w:rPr>
          <w:rFonts w:ascii="Times New Roman" w:hAnsi="Times New Roman" w:cs="Times New Roman"/>
          <w:i/>
          <w:sz w:val="28"/>
          <w:szCs w:val="28"/>
        </w:rPr>
        <w:t>Результаты отдельных мероприятий</w:t>
      </w:r>
    </w:p>
    <w:p w:rsidR="00A27357" w:rsidRPr="003B486E" w:rsidRDefault="00A27357" w:rsidP="00A27357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70609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>1. В рамках предварительного контроля проведена экспертиза проектов решений Совета Грачевского муниципального округа «О внесении изменений в решение Совета Грачевского муниципального округа Ставропольского края «О бюджете Грачевского муниципального округа Ставропольского края на  2021 год и плановый период 2022 и 2023 годов»»</w:t>
      </w:r>
      <w:r w:rsidR="00B70609">
        <w:rPr>
          <w:rFonts w:ascii="Times New Roman" w:hAnsi="Times New Roman" w:cs="Times New Roman"/>
          <w:sz w:val="28"/>
          <w:szCs w:val="28"/>
        </w:rPr>
        <w:t xml:space="preserve"> и </w:t>
      </w:r>
      <w:r w:rsidR="00B70609" w:rsidRPr="00B70609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624D4B">
        <w:rPr>
          <w:rFonts w:ascii="Times New Roman" w:hAnsi="Times New Roman" w:cs="Times New Roman"/>
          <w:sz w:val="28"/>
          <w:szCs w:val="28"/>
        </w:rPr>
        <w:t>10 </w:t>
      </w:r>
      <w:r w:rsidR="00B70609" w:rsidRPr="00B70609">
        <w:rPr>
          <w:rFonts w:ascii="Times New Roman" w:hAnsi="Times New Roman" w:cs="Times New Roman"/>
          <w:sz w:val="28"/>
          <w:szCs w:val="28"/>
        </w:rPr>
        <w:t>экспертных заключени</w:t>
      </w:r>
      <w:r w:rsidR="00B70609">
        <w:rPr>
          <w:rFonts w:ascii="Times New Roman" w:hAnsi="Times New Roman" w:cs="Times New Roman"/>
          <w:sz w:val="28"/>
          <w:szCs w:val="28"/>
        </w:rPr>
        <w:t>й</w:t>
      </w:r>
      <w:r w:rsidRPr="003B4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 xml:space="preserve">Объем проверенных бюджетных  средств составил  1 411 673,57 тыс. </w:t>
      </w:r>
      <w:r w:rsidRPr="003B486E">
        <w:rPr>
          <w:rFonts w:ascii="Times New Roman" w:hAnsi="Times New Roman" w:cs="Times New Roman"/>
          <w:sz w:val="28"/>
          <w:szCs w:val="28"/>
        </w:rPr>
        <w:lastRenderedPageBreak/>
        <w:t>рублей.</w:t>
      </w: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>В ходе мероприятий была дана оценка обоснованности предложений по корректировке бюджетных показателей по отдельным видам доходов, исходя из сложившихся объемов поступлений.</w:t>
      </w:r>
      <w:r w:rsidRPr="003B486E">
        <w:t xml:space="preserve"> </w:t>
      </w:r>
      <w:r w:rsidRPr="003B486E">
        <w:rPr>
          <w:rFonts w:ascii="Times New Roman" w:hAnsi="Times New Roman" w:cs="Times New Roman"/>
          <w:sz w:val="28"/>
          <w:szCs w:val="28"/>
        </w:rPr>
        <w:t>Особое внимание уделялось планируемым расходам,</w:t>
      </w:r>
      <w:r w:rsidRPr="003B486E">
        <w:t xml:space="preserve"> </w:t>
      </w:r>
      <w:r w:rsidRPr="003B486E">
        <w:rPr>
          <w:rFonts w:ascii="Times New Roman" w:hAnsi="Times New Roman" w:cs="Times New Roman"/>
          <w:sz w:val="28"/>
          <w:szCs w:val="28"/>
        </w:rPr>
        <w:t>изменениям бюджетных ассигнований (</w:t>
      </w:r>
      <w:proofErr w:type="gramStart"/>
      <w:r w:rsidRPr="003B486E">
        <w:rPr>
          <w:rFonts w:ascii="Times New Roman" w:hAnsi="Times New Roman" w:cs="Times New Roman"/>
          <w:sz w:val="28"/>
          <w:szCs w:val="28"/>
        </w:rPr>
        <w:t>увеличении</w:t>
      </w:r>
      <w:proofErr w:type="gramEnd"/>
      <w:r w:rsidRPr="003B486E">
        <w:rPr>
          <w:rFonts w:ascii="Times New Roman" w:hAnsi="Times New Roman" w:cs="Times New Roman"/>
          <w:sz w:val="28"/>
          <w:szCs w:val="28"/>
        </w:rPr>
        <w:t xml:space="preserve"> или сокращении)</w:t>
      </w:r>
      <w:r w:rsidRPr="003B486E">
        <w:t xml:space="preserve"> </w:t>
      </w:r>
      <w:r w:rsidRPr="003B486E">
        <w:rPr>
          <w:rFonts w:ascii="Times New Roman" w:hAnsi="Times New Roman" w:cs="Times New Roman"/>
          <w:sz w:val="28"/>
          <w:szCs w:val="28"/>
        </w:rPr>
        <w:t>целесообразности и результативности планируемых изменений.</w:t>
      </w: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>По результатам экспертизы проекты решений Совета Грачевского муниципального округа Ставропольского края о внесении изменений в местный бюджет признаны соответствующими положениям бюджетного законодательства и были рекомендованы к рассмотрению Советом Грачевского муниципального округа.</w:t>
      </w: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86E">
        <w:rPr>
          <w:rFonts w:ascii="Times New Roman" w:hAnsi="Times New Roman" w:cs="Times New Roman"/>
          <w:sz w:val="28"/>
          <w:szCs w:val="28"/>
        </w:rPr>
        <w:t xml:space="preserve">2. В рамках текущего (оперативного) контроля  проведено 3 экспертно-аналитических мероприятий по анализу исполнения бюджета Грачевского муниципального округа за I квартал, I полугодие и 9 месяцев 2021 года. </w:t>
      </w: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86E">
        <w:rPr>
          <w:rFonts w:ascii="Times New Roman" w:hAnsi="Times New Roman" w:cs="Times New Roman"/>
          <w:sz w:val="28"/>
          <w:szCs w:val="28"/>
        </w:rPr>
        <w:t>Ежеквартальный анализ включал оценку уровня исполнения доходных и расходных статей бюджета по объемам и структуре, полноте поступлений и своевременности исполнения расходов, в том числе освоения средств, предусмотренных на реализацию публично-нормативных обязательств, муниципальных программ,</w:t>
      </w:r>
      <w:r w:rsidRPr="003B486E">
        <w:t xml:space="preserve"> </w:t>
      </w:r>
      <w:r w:rsidRPr="003B486E">
        <w:rPr>
          <w:rFonts w:ascii="Times New Roman" w:hAnsi="Times New Roman" w:cs="Times New Roman"/>
          <w:sz w:val="28"/>
          <w:szCs w:val="28"/>
        </w:rPr>
        <w:t xml:space="preserve">осуществлялся анализ хода реализации национальных проектов в рамках реализации региональных проектов Ставропольского края, привлечения средств из источников финансирования дефицита бюджета. </w:t>
      </w:r>
      <w:proofErr w:type="gramEnd"/>
    </w:p>
    <w:p w:rsidR="003B486E" w:rsidRPr="0082380F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80F">
        <w:rPr>
          <w:rFonts w:ascii="Times New Roman" w:hAnsi="Times New Roman" w:cs="Times New Roman"/>
          <w:sz w:val="28"/>
          <w:szCs w:val="28"/>
        </w:rPr>
        <w:t>По результатам Контрольно-счетной комиссией подготовлены и направлены отчеты о ходе исполнения бюджета Грачевского муниципального округа главе Грачевского муниципального округа и в Совет Грачевского муниципального округа.</w:t>
      </w:r>
    </w:p>
    <w:p w:rsidR="003B486E" w:rsidRPr="003B486E" w:rsidRDefault="003B486E" w:rsidP="003B486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380F" w:rsidRPr="0082380F" w:rsidRDefault="003B486E" w:rsidP="003B486E">
      <w:pPr>
        <w:widowControl w:val="0"/>
        <w:tabs>
          <w:tab w:val="left" w:pos="-16160"/>
          <w:tab w:val="left" w:pos="-160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8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B486E">
        <w:rPr>
          <w:rFonts w:ascii="Times New Roman" w:hAnsi="Times New Roman" w:cs="Times New Roman"/>
          <w:sz w:val="28"/>
          <w:szCs w:val="28"/>
        </w:rPr>
        <w:t>3</w:t>
      </w:r>
      <w:r w:rsidRPr="003B48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82380F" w:rsidRPr="0082380F">
        <w:rPr>
          <w:rFonts w:ascii="Times New Roman" w:eastAsia="Times New Roman" w:hAnsi="Times New Roman" w:cs="Times New Roman"/>
          <w:sz w:val="28"/>
          <w:szCs w:val="28"/>
        </w:rPr>
        <w:t xml:space="preserve">В рамках последующего контроля </w:t>
      </w:r>
      <w:r w:rsidR="001255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2553E" w:rsidRPr="0012553E">
        <w:rPr>
          <w:rFonts w:ascii="Times New Roman" w:eastAsia="Times New Roman" w:hAnsi="Times New Roman" w:cs="Times New Roman"/>
          <w:sz w:val="28"/>
          <w:szCs w:val="28"/>
        </w:rPr>
        <w:t xml:space="preserve">роведены экспертно-аналитические мероприятия по внешней проверке годовой бюджетной отчетности главных администраторов средств бюджета Грачевского  муниципального округа </w:t>
      </w:r>
      <w:r w:rsidR="009C6DEF" w:rsidRPr="009C6DE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C6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DEF" w:rsidRPr="009C6DEF">
        <w:rPr>
          <w:rFonts w:ascii="Times New Roman" w:eastAsia="Times New Roman" w:hAnsi="Times New Roman" w:cs="Times New Roman"/>
          <w:sz w:val="28"/>
          <w:szCs w:val="28"/>
        </w:rPr>
        <w:t xml:space="preserve">отчетов об исполнении </w:t>
      </w:r>
      <w:r w:rsidR="009C6DEF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9C6DEF" w:rsidRPr="009C6DEF">
        <w:rPr>
          <w:rFonts w:ascii="Times New Roman" w:eastAsia="Times New Roman" w:hAnsi="Times New Roman" w:cs="Times New Roman"/>
          <w:sz w:val="28"/>
          <w:szCs w:val="28"/>
        </w:rPr>
        <w:t>Грачевского  муниципального округа и сельских поселений за 2020 год</w:t>
      </w:r>
      <w:r w:rsidR="0012553E" w:rsidRPr="0012553E">
        <w:rPr>
          <w:rFonts w:ascii="Times New Roman" w:eastAsia="Times New Roman" w:hAnsi="Times New Roman" w:cs="Times New Roman"/>
          <w:sz w:val="28"/>
          <w:szCs w:val="28"/>
        </w:rPr>
        <w:t xml:space="preserve">, по итогам которых </w:t>
      </w:r>
      <w:r w:rsidR="0012553E" w:rsidRPr="006B7B43">
        <w:rPr>
          <w:rFonts w:ascii="Times New Roman" w:eastAsia="Times New Roman" w:hAnsi="Times New Roman" w:cs="Times New Roman"/>
          <w:sz w:val="28"/>
          <w:szCs w:val="28"/>
        </w:rPr>
        <w:t>подготовлен</w:t>
      </w:r>
      <w:r w:rsidR="009C6DEF" w:rsidRPr="006B7B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553E" w:rsidRPr="006B7B43">
        <w:rPr>
          <w:rFonts w:ascii="Times New Roman" w:eastAsia="Times New Roman" w:hAnsi="Times New Roman" w:cs="Times New Roman"/>
          <w:sz w:val="28"/>
          <w:szCs w:val="28"/>
        </w:rPr>
        <w:t xml:space="preserve"> 34 заключения</w:t>
      </w:r>
      <w:r w:rsidR="0012553E" w:rsidRPr="00125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756" w:rsidRPr="00FE7756" w:rsidRDefault="00FE7756" w:rsidP="00FE7756">
      <w:pPr>
        <w:widowControl w:val="0"/>
        <w:tabs>
          <w:tab w:val="left" w:pos="-16160"/>
          <w:tab w:val="left" w:pos="-160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E7756">
        <w:rPr>
          <w:rFonts w:ascii="Times New Roman" w:eastAsia="Times New Roman" w:hAnsi="Times New Roman" w:cs="Times New Roman"/>
          <w:sz w:val="28"/>
          <w:szCs w:val="28"/>
        </w:rPr>
        <w:t>Объем средств бюджета Грачевского муниципального округа и бюджетов  восьми сельских поселений, охваченных внешней проверкой составил 1 342 183,45 тыс. рублей.</w:t>
      </w:r>
    </w:p>
    <w:p w:rsidR="00FA5AB5" w:rsidRPr="00FA5AB5" w:rsidRDefault="00452E83" w:rsidP="003B486E">
      <w:pPr>
        <w:widowControl w:val="0"/>
        <w:tabs>
          <w:tab w:val="left" w:pos="-16160"/>
          <w:tab w:val="left" w:pos="-1601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C6DEF" w:rsidRPr="009C6DEF"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годового отчета об исполнении </w:t>
      </w:r>
      <w:r w:rsidR="00620422" w:rsidRPr="00620422">
        <w:rPr>
          <w:rFonts w:ascii="Times New Roman" w:hAnsi="Times New Roman" w:cs="Times New Roman"/>
          <w:sz w:val="28"/>
          <w:szCs w:val="28"/>
        </w:rPr>
        <w:t xml:space="preserve">бюджета Грачевского  муниципального округа </w:t>
      </w:r>
      <w:r w:rsidR="00FA5AB5" w:rsidRPr="00FA5AB5"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="009C6DEF" w:rsidRPr="009C6DEF">
        <w:rPr>
          <w:rFonts w:ascii="Times New Roman" w:hAnsi="Times New Roman" w:cs="Times New Roman"/>
          <w:sz w:val="28"/>
          <w:szCs w:val="28"/>
        </w:rPr>
        <w:t xml:space="preserve">(в том числе бюджетной отчетности всех главных администраторов бюджетных средств (ГАБС) установлено, </w:t>
      </w:r>
      <w:r w:rsidR="009C6DEF" w:rsidRPr="00FA5AB5">
        <w:rPr>
          <w:rFonts w:ascii="Times New Roman" w:hAnsi="Times New Roman" w:cs="Times New Roman"/>
          <w:sz w:val="28"/>
          <w:szCs w:val="28"/>
        </w:rPr>
        <w:t xml:space="preserve">что </w:t>
      </w:r>
      <w:r w:rsidR="00FA5AB5" w:rsidRPr="00FA5AB5">
        <w:rPr>
          <w:rFonts w:ascii="Times New Roman" w:hAnsi="Times New Roman" w:cs="Times New Roman"/>
          <w:sz w:val="28"/>
          <w:szCs w:val="28"/>
        </w:rPr>
        <w:t xml:space="preserve">бюджетная отчетность главных распорядителей бюджетных средств и отчет об исполнении бюджета города Грачевского муниципального округа по состоянию на 01.01.2021 по своему составу соответствует требованиям Бюджетного кодекса Российской Федерации и </w:t>
      </w:r>
      <w:r w:rsidR="00FA5AB5" w:rsidRPr="00FA5AB5">
        <w:rPr>
          <w:rFonts w:ascii="Times New Roman" w:hAnsi="Times New Roman" w:cs="Times New Roman"/>
          <w:sz w:val="28"/>
          <w:szCs w:val="28"/>
        </w:rPr>
        <w:lastRenderedPageBreak/>
        <w:t>Инструкции о порядке</w:t>
      </w:r>
      <w:proofErr w:type="gramEnd"/>
      <w:r w:rsidR="00FA5AB5" w:rsidRPr="00FA5AB5">
        <w:rPr>
          <w:rFonts w:ascii="Times New Roman" w:hAnsi="Times New Roman" w:cs="Times New Roman"/>
          <w:sz w:val="28"/>
          <w:szCs w:val="28"/>
        </w:rPr>
        <w:t xml:space="preserve">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="00FA5AB5">
        <w:rPr>
          <w:rFonts w:ascii="Times New Roman" w:hAnsi="Times New Roman" w:cs="Times New Roman"/>
          <w:sz w:val="28"/>
          <w:szCs w:val="28"/>
        </w:rPr>
        <w:t xml:space="preserve"> </w:t>
      </w:r>
      <w:r w:rsidR="00FA5AB5" w:rsidRPr="00FA5AB5">
        <w:rPr>
          <w:rFonts w:ascii="Times New Roman" w:hAnsi="Times New Roman" w:cs="Times New Roman"/>
          <w:sz w:val="28"/>
          <w:szCs w:val="28"/>
        </w:rPr>
        <w:t>(далее - Инструкция №191н)</w:t>
      </w:r>
      <w:r w:rsidR="00FA5AB5">
        <w:rPr>
          <w:rFonts w:ascii="Times New Roman" w:hAnsi="Times New Roman" w:cs="Times New Roman"/>
          <w:sz w:val="28"/>
          <w:szCs w:val="28"/>
        </w:rPr>
        <w:t>.</w:t>
      </w:r>
    </w:p>
    <w:p w:rsidR="00FA5AB5" w:rsidRPr="0082153E" w:rsidRDefault="00FA5AB5" w:rsidP="003B486E">
      <w:pPr>
        <w:widowControl w:val="0"/>
        <w:tabs>
          <w:tab w:val="left" w:pos="-16160"/>
          <w:tab w:val="left" w:pos="-1601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6B7B43">
        <w:rPr>
          <w:rFonts w:ascii="Times New Roman" w:hAnsi="Times New Roman" w:cs="Times New Roman"/>
          <w:sz w:val="28"/>
          <w:szCs w:val="28"/>
        </w:rPr>
        <w:t>Годовой отчет об исполнении бюджета Грачевского  муниципального округа за 2020 год отражает достоверно во всех существенных отношениях финансовое положение Грачевского  муниципального округа на 31.12.2021 и результаты исполнения бюджета Грачевского  муниципального округа за период с 01 января по 31 декабря 2020 года включительно.</w:t>
      </w:r>
    </w:p>
    <w:p w:rsidR="00FA5AB5" w:rsidRDefault="00FA5AB5" w:rsidP="003B486E">
      <w:pPr>
        <w:widowControl w:val="0"/>
        <w:tabs>
          <w:tab w:val="left" w:pos="-16160"/>
          <w:tab w:val="left" w:pos="-1601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422" w:rsidRDefault="00620422" w:rsidP="00BF79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422">
        <w:rPr>
          <w:rFonts w:ascii="Times New Roman" w:hAnsi="Times New Roman" w:cs="Times New Roman"/>
          <w:sz w:val="28"/>
          <w:szCs w:val="28"/>
        </w:rPr>
        <w:t xml:space="preserve">Вместе с тем по результатам проверок бюджетной отчетности ГАБС установлено ряд нарушений, выразившихся в несоблюдении общих требований при формировании бухгалтерской (финансовой) отчетности, установленные Инструкцией </w:t>
      </w:r>
      <w:r w:rsidR="0082153E">
        <w:rPr>
          <w:rFonts w:ascii="Times New Roman" w:hAnsi="Times New Roman" w:cs="Times New Roman"/>
          <w:sz w:val="28"/>
          <w:szCs w:val="28"/>
        </w:rPr>
        <w:t>№191н</w:t>
      </w:r>
      <w:r w:rsidRPr="00620422">
        <w:rPr>
          <w:rFonts w:ascii="Times New Roman" w:hAnsi="Times New Roman" w:cs="Times New Roman"/>
          <w:sz w:val="28"/>
          <w:szCs w:val="28"/>
        </w:rPr>
        <w:t xml:space="preserve">, </w:t>
      </w:r>
      <w:r w:rsidR="0082153E" w:rsidRPr="0082153E">
        <w:rPr>
          <w:rFonts w:ascii="Times New Roman" w:hAnsi="Times New Roman" w:cs="Times New Roman"/>
          <w:sz w:val="28"/>
          <w:szCs w:val="28"/>
        </w:rPr>
        <w:t>не повлиявшие</w:t>
      </w:r>
      <w:r w:rsidR="0082153E">
        <w:rPr>
          <w:rFonts w:ascii="Times New Roman" w:hAnsi="Times New Roman" w:cs="Times New Roman"/>
          <w:sz w:val="28"/>
          <w:szCs w:val="28"/>
        </w:rPr>
        <w:t xml:space="preserve"> </w:t>
      </w:r>
      <w:r w:rsidRPr="00620422">
        <w:rPr>
          <w:rFonts w:ascii="Times New Roman" w:hAnsi="Times New Roman" w:cs="Times New Roman"/>
          <w:sz w:val="28"/>
          <w:szCs w:val="28"/>
        </w:rPr>
        <w:t>на достоверность бюджетной отчетности</w:t>
      </w:r>
      <w:r w:rsidR="0082153E">
        <w:rPr>
          <w:rFonts w:ascii="Times New Roman" w:hAnsi="Times New Roman" w:cs="Times New Roman"/>
          <w:sz w:val="28"/>
          <w:szCs w:val="28"/>
        </w:rPr>
        <w:t xml:space="preserve"> ГАБС</w:t>
      </w:r>
      <w:r w:rsidRPr="00620422">
        <w:rPr>
          <w:rFonts w:ascii="Times New Roman" w:hAnsi="Times New Roman" w:cs="Times New Roman"/>
          <w:sz w:val="28"/>
          <w:szCs w:val="28"/>
        </w:rPr>
        <w:t>, но отрицательно сказавшихся на ее прозрачности и информативности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917" w:rsidRPr="0028423F" w:rsidRDefault="00BF7917" w:rsidP="00BF7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3F">
        <w:rPr>
          <w:rFonts w:ascii="Times New Roman" w:hAnsi="Times New Roman" w:cs="Times New Roman"/>
          <w:sz w:val="28"/>
          <w:szCs w:val="28"/>
        </w:rPr>
        <w:t>В отчетности 17 ГАБС выявлено</w:t>
      </w:r>
      <w:r w:rsidRPr="0028423F">
        <w:t xml:space="preserve"> </w:t>
      </w:r>
      <w:r w:rsidRPr="0028423F">
        <w:rPr>
          <w:rFonts w:ascii="Times New Roman" w:hAnsi="Times New Roman" w:cs="Times New Roman"/>
          <w:sz w:val="28"/>
          <w:szCs w:val="28"/>
        </w:rPr>
        <w:t xml:space="preserve">и  систематизировано по группам </w:t>
      </w:r>
      <w:r w:rsidR="0028423F" w:rsidRPr="0028423F">
        <w:rPr>
          <w:rFonts w:ascii="Times New Roman" w:hAnsi="Times New Roman" w:cs="Times New Roman"/>
          <w:sz w:val="28"/>
          <w:szCs w:val="28"/>
        </w:rPr>
        <w:t>8</w:t>
      </w:r>
      <w:r w:rsidRPr="0028423F">
        <w:rPr>
          <w:rFonts w:ascii="Times New Roman" w:hAnsi="Times New Roman" w:cs="Times New Roman"/>
          <w:sz w:val="28"/>
          <w:szCs w:val="28"/>
        </w:rPr>
        <w:t>7 нарушений</w:t>
      </w:r>
      <w:r w:rsidR="00452E83" w:rsidRPr="0028423F">
        <w:rPr>
          <w:rFonts w:ascii="Times New Roman" w:hAnsi="Times New Roman" w:cs="Times New Roman"/>
          <w:sz w:val="28"/>
          <w:szCs w:val="28"/>
        </w:rPr>
        <w:t>,</w:t>
      </w:r>
      <w:r w:rsidR="00452E83" w:rsidRPr="0028423F">
        <w:t xml:space="preserve"> </w:t>
      </w:r>
      <w:r w:rsidR="00452E83" w:rsidRPr="0028423F">
        <w:rPr>
          <w:rFonts w:ascii="Times New Roman" w:hAnsi="Times New Roman" w:cs="Times New Roman"/>
          <w:sz w:val="28"/>
          <w:szCs w:val="28"/>
        </w:rPr>
        <w:t>не имеющих стоимостного выражения</w:t>
      </w:r>
      <w:r w:rsidRPr="0028423F">
        <w:rPr>
          <w:rFonts w:ascii="Times New Roman" w:hAnsi="Times New Roman" w:cs="Times New Roman"/>
          <w:sz w:val="28"/>
          <w:szCs w:val="28"/>
        </w:rPr>
        <w:t>:</w:t>
      </w:r>
    </w:p>
    <w:p w:rsidR="00BF7917" w:rsidRPr="0028423F" w:rsidRDefault="00BF7917" w:rsidP="00BF7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3F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представленной бюджетной отчетности установленным требованиям к ее составу  (в отчетности 15 ГАБС - </w:t>
      </w:r>
      <w:r w:rsidR="0028423F" w:rsidRPr="0028423F">
        <w:rPr>
          <w:rFonts w:ascii="Times New Roman" w:hAnsi="Times New Roman" w:cs="Times New Roman"/>
          <w:sz w:val="28"/>
          <w:szCs w:val="28"/>
        </w:rPr>
        <w:t>71</w:t>
      </w:r>
      <w:r w:rsidRPr="0028423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8423F" w:rsidRPr="0028423F">
        <w:rPr>
          <w:rFonts w:ascii="Times New Roman" w:hAnsi="Times New Roman" w:cs="Times New Roman"/>
          <w:sz w:val="28"/>
          <w:szCs w:val="28"/>
        </w:rPr>
        <w:t>е</w:t>
      </w:r>
      <w:r w:rsidRPr="0028423F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BF7917" w:rsidRPr="0028423F" w:rsidRDefault="00BF7917" w:rsidP="00BF7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3F">
        <w:rPr>
          <w:rFonts w:ascii="Times New Roman" w:hAnsi="Times New Roman" w:cs="Times New Roman"/>
          <w:sz w:val="28"/>
          <w:szCs w:val="28"/>
        </w:rPr>
        <w:t>- оформление форм бюджетной отчетности с нарушениями требований Инструкции №191н (в отчетности 4 ГАБС - 5 нарушений);</w:t>
      </w:r>
    </w:p>
    <w:p w:rsidR="00BF7917" w:rsidRPr="0028423F" w:rsidRDefault="00BF7917" w:rsidP="00BF7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3F">
        <w:rPr>
          <w:rFonts w:ascii="Times New Roman" w:hAnsi="Times New Roman" w:cs="Times New Roman"/>
          <w:sz w:val="28"/>
          <w:szCs w:val="28"/>
        </w:rPr>
        <w:t xml:space="preserve">- несоответствие содержания форм бюджетной отчетности требованиям Инструкции №191н (в отчетности 1 ГАБС - </w:t>
      </w:r>
      <w:r w:rsidR="0028423F" w:rsidRPr="0028423F">
        <w:rPr>
          <w:rFonts w:ascii="Times New Roman" w:hAnsi="Times New Roman" w:cs="Times New Roman"/>
          <w:sz w:val="28"/>
          <w:szCs w:val="28"/>
        </w:rPr>
        <w:t>1</w:t>
      </w:r>
      <w:r w:rsidRPr="0028423F">
        <w:rPr>
          <w:rFonts w:ascii="Times New Roman" w:hAnsi="Times New Roman" w:cs="Times New Roman"/>
          <w:sz w:val="28"/>
          <w:szCs w:val="28"/>
        </w:rPr>
        <w:t xml:space="preserve"> нарушения);  </w:t>
      </w:r>
    </w:p>
    <w:p w:rsidR="00BF7917" w:rsidRPr="0028423F" w:rsidRDefault="00BF7917" w:rsidP="00BF79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3F">
        <w:rPr>
          <w:rFonts w:ascii="Times New Roman" w:hAnsi="Times New Roman" w:cs="Times New Roman"/>
          <w:sz w:val="28"/>
          <w:szCs w:val="28"/>
        </w:rPr>
        <w:t>- ненадлежащее или неполное отражение данных в бюджетной отчетности (в отчетности 9 ГАБС - 10 нарушений).</w:t>
      </w:r>
    </w:p>
    <w:p w:rsidR="0082380F" w:rsidRDefault="00620422" w:rsidP="00BF7917">
      <w:pPr>
        <w:widowControl w:val="0"/>
        <w:tabs>
          <w:tab w:val="left" w:pos="-16160"/>
          <w:tab w:val="left" w:pos="-160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399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7917" w:rsidRPr="00163997">
        <w:rPr>
          <w:rFonts w:ascii="Times New Roman" w:hAnsi="Times New Roman" w:cs="Times New Roman"/>
          <w:sz w:val="28"/>
          <w:szCs w:val="28"/>
        </w:rPr>
        <w:t>До всех главных администраторов бюджетных средств Грачевского муниципального округа были доведены результаты проверок для проведения анализа</w:t>
      </w:r>
      <w:r w:rsidR="00BF7917" w:rsidRPr="00163997">
        <w:t xml:space="preserve"> </w:t>
      </w:r>
      <w:r w:rsidR="00BF7917" w:rsidRPr="00163997">
        <w:rPr>
          <w:rFonts w:ascii="Times New Roman" w:hAnsi="Times New Roman" w:cs="Times New Roman"/>
          <w:sz w:val="28"/>
          <w:szCs w:val="28"/>
        </w:rPr>
        <w:t>и устранения выявленных нарушений.</w:t>
      </w:r>
      <w:r w:rsidR="00BF7917" w:rsidRPr="00BF79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80F" w:rsidRDefault="0082380F" w:rsidP="003B486E">
      <w:pPr>
        <w:widowControl w:val="0"/>
        <w:tabs>
          <w:tab w:val="left" w:pos="-16160"/>
          <w:tab w:val="left" w:pos="-1601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B486E" w:rsidRPr="003B486E" w:rsidRDefault="003B486E" w:rsidP="003B486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B486E">
        <w:rPr>
          <w:rFonts w:ascii="Times New Roman" w:eastAsia="Times New Roman" w:hAnsi="Times New Roman" w:cs="Times New Roman"/>
          <w:sz w:val="28"/>
          <w:szCs w:val="28"/>
        </w:rPr>
        <w:t>4. В рамках реализации полномочий</w:t>
      </w:r>
      <w:r w:rsidRPr="003B486E">
        <w:t xml:space="preserve"> </w:t>
      </w:r>
      <w:r w:rsidRPr="003B486E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</w:t>
      </w:r>
      <w:r w:rsidRPr="003B486E">
        <w:rPr>
          <w:rFonts w:ascii="Times New Roman" w:eastAsia="Times New Roman" w:hAnsi="Times New Roman" w:cs="Times New Roman"/>
          <w:sz w:val="28"/>
          <w:szCs w:val="20"/>
        </w:rPr>
        <w:t>финансово-экономической экспертизы проектов муниципальных правовых актов</w:t>
      </w:r>
      <w:r w:rsidRPr="003B486E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комиссией проведена </w:t>
      </w:r>
      <w:r w:rsidRPr="003B486E">
        <w:rPr>
          <w:rFonts w:ascii="Times New Roman" w:eastAsia="Times New Roman" w:hAnsi="Times New Roman" w:cs="Times New Roman"/>
          <w:sz w:val="28"/>
          <w:szCs w:val="20"/>
        </w:rPr>
        <w:t>финансово-экономическая экспертиза 4 проектов решений Совета Грачевского  муниципального округа:</w:t>
      </w:r>
    </w:p>
    <w:p w:rsidR="003B486E" w:rsidRPr="003B486E" w:rsidRDefault="003B486E" w:rsidP="003B486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6E">
        <w:rPr>
          <w:rFonts w:ascii="Times New Roman" w:eastAsia="Times New Roman" w:hAnsi="Times New Roman" w:cs="Times New Roman"/>
          <w:sz w:val="28"/>
          <w:szCs w:val="28"/>
        </w:rPr>
        <w:t>проект решения Совета Грачевского муниципального округа Ставропольского края «О мерах социальной поддержки работников культуры, работающих и проживающих в сельской местности  Грачевского муниципального округа Ставропольского края на 2021 год»;</w:t>
      </w:r>
    </w:p>
    <w:p w:rsidR="003B486E" w:rsidRPr="003B486E" w:rsidRDefault="003B486E" w:rsidP="003B486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6E">
        <w:rPr>
          <w:rFonts w:ascii="Times New Roman" w:eastAsia="Times New Roman" w:hAnsi="Times New Roman" w:cs="Times New Roman"/>
          <w:sz w:val="28"/>
          <w:szCs w:val="28"/>
        </w:rPr>
        <w:t>проект решения Совета Грачевского муниципального округа Ставропольского края «О мерах социальной поддержки отдельных категорий граждан, работающих и проживающих в сельской местности Грачевского муниципального округа Ставропольского края на 2021 год»;</w:t>
      </w:r>
    </w:p>
    <w:p w:rsidR="003B486E" w:rsidRPr="003B486E" w:rsidRDefault="003B486E" w:rsidP="003B486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6E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Грачевского муниципального округа Ставропольского края «Об установлении доли дотации на выравнивание бюджетной  обеспеченности, подлежащей замене на дополнительный </w:t>
      </w:r>
      <w:r w:rsidRPr="003B486E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  отчислений от налога на доходы физических лиц»;</w:t>
      </w:r>
    </w:p>
    <w:p w:rsidR="003B486E" w:rsidRDefault="003B486E" w:rsidP="003B486E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6E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Грачевского муниципального округа Ставропольского края «О внесении изменений в решение Совета Грачевского муниципального округа Ставропольского края от 23 октября 2020 года №24 «Об утверждении Положения о бюджетном процессе в </w:t>
      </w:r>
      <w:proofErr w:type="spellStart"/>
      <w:r w:rsidRPr="003B486E">
        <w:rPr>
          <w:rFonts w:ascii="Times New Roman" w:eastAsia="Times New Roman" w:hAnsi="Times New Roman" w:cs="Times New Roman"/>
          <w:sz w:val="28"/>
          <w:szCs w:val="28"/>
        </w:rPr>
        <w:t>Грачевском</w:t>
      </w:r>
      <w:proofErr w:type="spellEnd"/>
      <w:r w:rsidRPr="003B486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Ставропольского края».</w:t>
      </w:r>
    </w:p>
    <w:p w:rsidR="00BF7917" w:rsidRDefault="00BF7917" w:rsidP="00BF7917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917">
        <w:rPr>
          <w:rFonts w:ascii="Times New Roman" w:eastAsia="Times New Roman" w:hAnsi="Times New Roman" w:cs="Times New Roman"/>
          <w:sz w:val="28"/>
          <w:szCs w:val="28"/>
        </w:rPr>
        <w:t xml:space="preserve">Среди наиболее частых недостатков, в представленных на экспертизу МПА </w:t>
      </w:r>
      <w:r>
        <w:rPr>
          <w:rFonts w:ascii="Times New Roman" w:eastAsia="Times New Roman" w:hAnsi="Times New Roman" w:cs="Times New Roman"/>
          <w:sz w:val="28"/>
          <w:szCs w:val="28"/>
        </w:rPr>
        <w:t>Грачевского муниципального округа</w:t>
      </w:r>
      <w:r w:rsidRPr="00BF7917">
        <w:rPr>
          <w:rFonts w:ascii="Times New Roman" w:eastAsia="Times New Roman" w:hAnsi="Times New Roman" w:cs="Times New Roman"/>
          <w:sz w:val="28"/>
          <w:szCs w:val="28"/>
        </w:rPr>
        <w:t>, Контрольно-счетн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F7917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F7917">
        <w:rPr>
          <w:rFonts w:ascii="Times New Roman" w:eastAsia="Times New Roman" w:hAnsi="Times New Roman" w:cs="Times New Roman"/>
          <w:sz w:val="28"/>
          <w:szCs w:val="28"/>
        </w:rPr>
        <w:t xml:space="preserve"> отмечала недостаточную проработку финансово-экономических обоснований, отсутствие сведений о влиянии тех или иных предлагаемых решений на доходы и расходы бюджета Грачевского муниципального округа и оценки предполагаемого социально-экономического эффекта.</w:t>
      </w:r>
    </w:p>
    <w:p w:rsidR="00D00776" w:rsidRDefault="00D00776" w:rsidP="00EC2AF5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 w:rsidRPr="00D00776">
        <w:rPr>
          <w:rFonts w:ascii="Times New Roman" w:eastAsia="Times New Roman" w:hAnsi="Times New Roman" w:cs="Times New Roman"/>
          <w:sz w:val="28"/>
          <w:szCs w:val="28"/>
        </w:rPr>
        <w:t>По итогам экспертизы проектов МПА Контрольно-счетн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0776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BC6746">
        <w:rPr>
          <w:rFonts w:ascii="Times New Roman" w:eastAsia="Times New Roman" w:hAnsi="Times New Roman" w:cs="Times New Roman"/>
          <w:sz w:val="28"/>
          <w:szCs w:val="28"/>
        </w:rPr>
        <w:t>сформулировано</w:t>
      </w:r>
      <w:r w:rsidR="00BC6746" w:rsidRPr="00BC6746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BC6746">
        <w:rPr>
          <w:rFonts w:ascii="Times New Roman" w:eastAsia="Times New Roman" w:hAnsi="Times New Roman" w:cs="Times New Roman"/>
          <w:sz w:val="28"/>
          <w:szCs w:val="28"/>
        </w:rPr>
        <w:t xml:space="preserve">  предложений, из них </w:t>
      </w:r>
      <w:r w:rsidR="00BC6746" w:rsidRPr="00BC6746">
        <w:rPr>
          <w:rFonts w:ascii="Times New Roman" w:eastAsia="Times New Roman" w:hAnsi="Times New Roman" w:cs="Times New Roman"/>
          <w:sz w:val="28"/>
          <w:szCs w:val="28"/>
        </w:rPr>
        <w:t>5 (71</w:t>
      </w:r>
      <w:r w:rsidRPr="00BC6746">
        <w:rPr>
          <w:rFonts w:ascii="Times New Roman" w:eastAsia="Times New Roman" w:hAnsi="Times New Roman" w:cs="Times New Roman"/>
          <w:sz w:val="28"/>
          <w:szCs w:val="28"/>
        </w:rPr>
        <w:t>%) учтено</w:t>
      </w:r>
      <w:r w:rsidRPr="00D00776">
        <w:rPr>
          <w:rFonts w:ascii="Times New Roman" w:eastAsia="Times New Roman" w:hAnsi="Times New Roman" w:cs="Times New Roman"/>
          <w:sz w:val="28"/>
          <w:szCs w:val="28"/>
        </w:rPr>
        <w:t xml:space="preserve"> разработчиками при принятии и доработке правовых актов Грачевского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799" w:rsidRDefault="00EC2AF5" w:rsidP="00EC2AF5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F5">
        <w:rPr>
          <w:rFonts w:ascii="Times New Roman" w:eastAsia="Times New Roman" w:hAnsi="Times New Roman" w:cs="Times New Roman"/>
          <w:sz w:val="28"/>
          <w:szCs w:val="28"/>
        </w:rPr>
        <w:t>Предложения были направлены</w:t>
      </w:r>
      <w:r w:rsidR="00C97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7799" w:rsidRPr="00C97799">
        <w:rPr>
          <w:rFonts w:ascii="Times New Roman" w:eastAsia="Times New Roman" w:hAnsi="Times New Roman" w:cs="Times New Roman"/>
          <w:sz w:val="28"/>
          <w:szCs w:val="28"/>
        </w:rPr>
        <w:t>на минимизацию и предотвращение следующих рисков:</w:t>
      </w:r>
      <w:r w:rsidR="00C97799" w:rsidRPr="00C97799">
        <w:rPr>
          <w:rFonts w:ascii="Times New Roman" w:eastAsia="Times New Roman" w:hAnsi="Times New Roman" w:cs="Times New Roman"/>
          <w:sz w:val="28"/>
          <w:szCs w:val="28"/>
        </w:rPr>
        <w:cr/>
        <w:t xml:space="preserve"> </w:t>
      </w:r>
      <w:r w:rsidR="00C9779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97799" w:rsidRPr="00C97799">
        <w:rPr>
          <w:rFonts w:ascii="Times New Roman" w:eastAsia="Times New Roman" w:hAnsi="Times New Roman" w:cs="Times New Roman"/>
          <w:sz w:val="28"/>
          <w:szCs w:val="28"/>
        </w:rPr>
        <w:t>-  нарушений законодательства и МПА Грачевского муниципального округа</w:t>
      </w:r>
      <w:r w:rsidR="00C97799">
        <w:rPr>
          <w:rFonts w:ascii="Times New Roman" w:eastAsia="Times New Roman" w:hAnsi="Times New Roman" w:cs="Times New Roman"/>
          <w:sz w:val="28"/>
          <w:szCs w:val="28"/>
        </w:rPr>
        <w:t xml:space="preserve"> (в</w:t>
      </w:r>
      <w:r w:rsidR="00C97799" w:rsidRPr="00C97799">
        <w:rPr>
          <w:rFonts w:ascii="Times New Roman" w:eastAsia="Times New Roman" w:hAnsi="Times New Roman" w:cs="Times New Roman"/>
          <w:sz w:val="28"/>
          <w:szCs w:val="28"/>
        </w:rPr>
        <w:t xml:space="preserve"> части уточнения отдельных статей Положения о бюджетном процессе в </w:t>
      </w:r>
      <w:proofErr w:type="spellStart"/>
      <w:r w:rsidR="00C97799" w:rsidRPr="00C97799">
        <w:rPr>
          <w:rFonts w:ascii="Times New Roman" w:eastAsia="Times New Roman" w:hAnsi="Times New Roman" w:cs="Times New Roman"/>
          <w:sz w:val="28"/>
          <w:szCs w:val="28"/>
        </w:rPr>
        <w:t>Грачевском</w:t>
      </w:r>
      <w:proofErr w:type="spellEnd"/>
      <w:r w:rsidR="00C97799" w:rsidRPr="00C9779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округе, которые требовали доработки и  приведения их в соответствие действующему бюджетному законодательству</w:t>
      </w:r>
      <w:r w:rsidR="00C9779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31F39" w:rsidRPr="003B486E" w:rsidRDefault="00EC2AF5" w:rsidP="008A6F3D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A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EC2AF5">
        <w:rPr>
          <w:rFonts w:ascii="Times New Roman" w:eastAsia="Times New Roman" w:hAnsi="Times New Roman" w:cs="Times New Roman"/>
          <w:sz w:val="28"/>
          <w:szCs w:val="28"/>
        </w:rPr>
        <w:t>недопоступления</w:t>
      </w:r>
      <w:proofErr w:type="spellEnd"/>
      <w:r w:rsidRPr="00EC2AF5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proofErr w:type="gramStart"/>
      <w:r w:rsidRPr="00EC2AF5">
        <w:rPr>
          <w:rFonts w:ascii="Times New Roman" w:eastAsia="Times New Roman" w:hAnsi="Times New Roman" w:cs="Times New Roman"/>
          <w:sz w:val="28"/>
          <w:szCs w:val="28"/>
        </w:rPr>
        <w:t>дств в б</w:t>
      </w:r>
      <w:proofErr w:type="gramEnd"/>
      <w:r w:rsidRPr="00EC2AF5">
        <w:rPr>
          <w:rFonts w:ascii="Times New Roman" w:eastAsia="Times New Roman" w:hAnsi="Times New Roman" w:cs="Times New Roman"/>
          <w:sz w:val="28"/>
          <w:szCs w:val="28"/>
        </w:rPr>
        <w:t>юджет (недополученные доходы).</w:t>
      </w:r>
      <w:r w:rsidRPr="00EC2AF5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631F39" w:rsidRPr="00E36880" w:rsidRDefault="00631F39" w:rsidP="00631F39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80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</w:t>
      </w:r>
      <w:r w:rsidR="001A19AB" w:rsidRPr="00E36880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E36880">
        <w:rPr>
          <w:rFonts w:ascii="Times New Roman" w:eastAsia="Times New Roman" w:hAnsi="Times New Roman" w:cs="Times New Roman"/>
          <w:sz w:val="28"/>
          <w:szCs w:val="28"/>
        </w:rPr>
        <w:t xml:space="preserve"> контролирует не только исполнение бюджета, законность использования бюджетных средств, муниципальной собственности, но и осуществляет полномочия по участию в мероприятиях, направленных на противодействие коррупции. Приоритетом в работе является профилактика и устранение системных причин коррупции в целях повышения прозрачности бюджетной системы.</w:t>
      </w:r>
    </w:p>
    <w:p w:rsidR="004F569C" w:rsidRPr="00E36880" w:rsidRDefault="00631F39" w:rsidP="00631F39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80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контроля исполнения бюджета </w:t>
      </w:r>
      <w:r w:rsidR="001A19AB" w:rsidRPr="00E36880">
        <w:rPr>
          <w:rFonts w:ascii="Times New Roman" w:eastAsia="Times New Roman" w:hAnsi="Times New Roman" w:cs="Times New Roman"/>
          <w:sz w:val="28"/>
          <w:szCs w:val="28"/>
        </w:rPr>
        <w:t>Грачевского муниципального округа</w:t>
      </w:r>
      <w:r w:rsidRPr="00E36880">
        <w:rPr>
          <w:rFonts w:ascii="Times New Roman" w:eastAsia="Times New Roman" w:hAnsi="Times New Roman" w:cs="Times New Roman"/>
          <w:sz w:val="28"/>
          <w:szCs w:val="28"/>
        </w:rPr>
        <w:t xml:space="preserve">, финансово-экономической экспертизы муниципальных правовых актов, имеющих расходные обязательства бюджета </w:t>
      </w:r>
      <w:r w:rsidR="001A19AB" w:rsidRPr="00E36880">
        <w:rPr>
          <w:rFonts w:ascii="Times New Roman" w:eastAsia="Times New Roman" w:hAnsi="Times New Roman" w:cs="Times New Roman"/>
          <w:sz w:val="28"/>
          <w:szCs w:val="28"/>
        </w:rPr>
        <w:t>Грачевского муниципального округа</w:t>
      </w:r>
      <w:r w:rsidRPr="00E36880">
        <w:rPr>
          <w:rFonts w:ascii="Times New Roman" w:eastAsia="Times New Roman" w:hAnsi="Times New Roman" w:cs="Times New Roman"/>
          <w:sz w:val="28"/>
          <w:szCs w:val="28"/>
        </w:rPr>
        <w:t>, в ходе проведения контрольных мероприятий дается оценка коррупционных рисков при использовании бюджетных средств муниципальными органами, главными администраторами бюджетных средств.</w:t>
      </w:r>
    </w:p>
    <w:p w:rsidR="00631F39" w:rsidRPr="00E36880" w:rsidRDefault="00631F39" w:rsidP="00631F39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DEB" w:rsidRDefault="00DE5A27" w:rsidP="004E5B6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A5914">
        <w:rPr>
          <w:rFonts w:ascii="Times New Roman" w:eastAsia="Times New Roman" w:hAnsi="Times New Roman" w:cs="Times New Roman"/>
          <w:b/>
          <w:sz w:val="28"/>
          <w:szCs w:val="28"/>
        </w:rPr>
        <w:t xml:space="preserve">. Организационно-методическая </w:t>
      </w:r>
      <w:r w:rsidR="008A6F3D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8A6F3D" w:rsidRPr="008A6F3D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деятельность Контрольно-счетной комиссии</w:t>
      </w:r>
    </w:p>
    <w:p w:rsidR="00B531B6" w:rsidRPr="00B531B6" w:rsidRDefault="00B531B6" w:rsidP="00B531B6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1B6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внешнего муниципального финансового контроля Контрольно-счетная </w:t>
      </w:r>
      <w:r w:rsidR="00CB6365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B531B6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руководствуется действующим законодательством, муниципальными правовыми актами </w:t>
      </w:r>
      <w:r w:rsidR="00CB6365" w:rsidRPr="00CB6365">
        <w:rPr>
          <w:rFonts w:ascii="Times New Roman" w:eastAsia="Times New Roman" w:hAnsi="Times New Roman" w:cs="Times New Roman"/>
          <w:sz w:val="28"/>
          <w:szCs w:val="28"/>
        </w:rPr>
        <w:t>Грачевского муниципального округа Ставропольского края</w:t>
      </w:r>
      <w:r w:rsidRPr="00B531B6">
        <w:rPr>
          <w:rFonts w:ascii="Times New Roman" w:eastAsia="Times New Roman" w:hAnsi="Times New Roman" w:cs="Times New Roman"/>
          <w:sz w:val="28"/>
          <w:szCs w:val="28"/>
        </w:rPr>
        <w:t xml:space="preserve">, стандартами внешнего муниципального финансового контроля. </w:t>
      </w:r>
    </w:p>
    <w:p w:rsidR="00B531B6" w:rsidRDefault="00B531B6" w:rsidP="00B531B6">
      <w:pPr>
        <w:widowControl w:val="0"/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1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Контрольно-счетной </w:t>
      </w:r>
      <w:r w:rsidR="00CB6365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Pr="00B531B6">
        <w:rPr>
          <w:rFonts w:ascii="Times New Roman" w:eastAsia="Times New Roman" w:hAnsi="Times New Roman" w:cs="Times New Roman"/>
          <w:sz w:val="28"/>
          <w:szCs w:val="28"/>
        </w:rPr>
        <w:t xml:space="preserve"> разработан</w:t>
      </w:r>
      <w:r w:rsidR="00CB63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531B6">
        <w:rPr>
          <w:rFonts w:ascii="Times New Roman" w:eastAsia="Times New Roman" w:hAnsi="Times New Roman" w:cs="Times New Roman"/>
          <w:sz w:val="28"/>
          <w:szCs w:val="28"/>
        </w:rPr>
        <w:t xml:space="preserve"> и утвержден</w:t>
      </w:r>
      <w:r w:rsidR="00CB63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53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36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24D4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531B6">
        <w:rPr>
          <w:rFonts w:ascii="Times New Roman" w:eastAsia="Times New Roman" w:hAnsi="Times New Roman" w:cs="Times New Roman"/>
          <w:sz w:val="28"/>
          <w:szCs w:val="28"/>
        </w:rPr>
        <w:t>стандартов внешнего муниципального финансового контроля.</w:t>
      </w:r>
    </w:p>
    <w:p w:rsidR="00D02904" w:rsidRDefault="00D02904" w:rsidP="004E5B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904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Федерального закона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(далее также - Федеральный закон от 01.07.2021 № 255-ФЗ) решением Совета Грачевского муниципального округа Ставропольского края </w:t>
      </w:r>
      <w:r w:rsidR="00101CF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029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01CFB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0290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01CF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0290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01CFB"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904">
        <w:rPr>
          <w:rFonts w:ascii="Times New Roman" w:eastAsia="Times New Roman" w:hAnsi="Times New Roman" w:cs="Times New Roman"/>
          <w:sz w:val="28"/>
          <w:szCs w:val="28"/>
        </w:rPr>
        <w:t>внесены изменения в решение Совета Грачевского муниципального округа Ставропольского</w:t>
      </w:r>
      <w:proofErr w:type="gramEnd"/>
      <w:r w:rsidRPr="00D02904">
        <w:rPr>
          <w:rFonts w:ascii="Times New Roman" w:eastAsia="Times New Roman" w:hAnsi="Times New Roman" w:cs="Times New Roman"/>
          <w:sz w:val="28"/>
          <w:szCs w:val="28"/>
        </w:rPr>
        <w:t xml:space="preserve"> края 07.12.2020 № 64 </w:t>
      </w:r>
      <w:r w:rsidR="00101CFB" w:rsidRPr="00101CFB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Контрольно-счетной комиссии Грачевского муниципального округа Ставропольского края»</w:t>
      </w:r>
      <w:r w:rsidRPr="00D02904">
        <w:rPr>
          <w:rFonts w:ascii="Times New Roman" w:eastAsia="Times New Roman" w:hAnsi="Times New Roman" w:cs="Times New Roman"/>
          <w:sz w:val="28"/>
          <w:szCs w:val="28"/>
        </w:rPr>
        <w:t xml:space="preserve"> в целях его приведения в соответствие с Федеральным законом от 01.07.2021 № 255-ФЗ.</w:t>
      </w:r>
    </w:p>
    <w:p w:rsidR="00367DEB" w:rsidRDefault="007A5914" w:rsidP="004E5B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Контрольно-счетной комиссией ведется постоянная работа по мониторингу и внедрению новых передовых методик, связанных с проведением  мероприятий</w:t>
      </w:r>
      <w:r w:rsidR="001A671C" w:rsidRPr="001A671C">
        <w:t xml:space="preserve"> </w:t>
      </w:r>
      <w:r w:rsidR="001A671C" w:rsidRPr="001A671C">
        <w:rPr>
          <w:rFonts w:ascii="Times New Roman" w:eastAsia="Times New Roman" w:hAnsi="Times New Roman" w:cs="Times New Roman"/>
          <w:sz w:val="28"/>
          <w:szCs w:val="28"/>
        </w:rPr>
        <w:t>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F3D" w:rsidRDefault="008A6F3D" w:rsidP="008A6F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3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Реализуя принцип гласности, Контрольно-счетная комиссия в отчетном году проводила работу по информированию общественности о результатах своей деятельности</w:t>
      </w:r>
      <w:r w:rsidRPr="008A6F3D">
        <w:rPr>
          <w:rFonts w:ascii="Times New Roman" w:eastAsia="Times New Roman" w:hAnsi="Times New Roman" w:cs="Times New Roman"/>
          <w:sz w:val="28"/>
          <w:szCs w:val="28"/>
        </w:rPr>
        <w:t xml:space="preserve"> через средства массовой информации и </w:t>
      </w:r>
      <w:proofErr w:type="spellStart"/>
      <w:r w:rsidRPr="008A6F3D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proofErr w:type="spellEnd"/>
      <w:r w:rsidRPr="008A6F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0F4" w:rsidRDefault="002700F4" w:rsidP="003F2B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700F4">
        <w:rPr>
          <w:rFonts w:ascii="Times New Roman" w:eastAsia="Times New Roman" w:hAnsi="Times New Roman" w:cs="Times New Roman"/>
          <w:sz w:val="28"/>
          <w:szCs w:val="28"/>
        </w:rPr>
        <w:t xml:space="preserve"> течение 2021 года </w:t>
      </w:r>
      <w:r w:rsidR="003F2BBF" w:rsidRPr="003F2BBF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Pr="002700F4">
        <w:t xml:space="preserve"> </w:t>
      </w:r>
      <w:r w:rsidRPr="002700F4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</w:t>
      </w:r>
      <w:r w:rsidRPr="009826C3">
        <w:rPr>
          <w:rFonts w:ascii="Times New Roman" w:eastAsia="Times New Roman" w:hAnsi="Times New Roman" w:cs="Times New Roman"/>
          <w:sz w:val="28"/>
          <w:szCs w:val="28"/>
        </w:rPr>
        <w:t>сайте Совета Грачевского муниципального округа Ставропольского края: http://grachrayon-sovet.ru в разделе «Контрольно-счетная комиссия»</w:t>
      </w:r>
      <w:r w:rsidRPr="009826C3">
        <w:t xml:space="preserve"> </w:t>
      </w:r>
      <w:r w:rsidRPr="009826C3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9826C3" w:rsidRPr="009826C3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9826C3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сообщения</w:t>
      </w:r>
      <w:r w:rsidRPr="002700F4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23190D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</w:t>
      </w:r>
      <w:r w:rsidRPr="002700F4">
        <w:rPr>
          <w:rFonts w:ascii="Times New Roman" w:eastAsia="Times New Roman" w:hAnsi="Times New Roman" w:cs="Times New Roman"/>
          <w:sz w:val="28"/>
          <w:szCs w:val="28"/>
        </w:rPr>
        <w:t>проведенных мероприяти</w:t>
      </w:r>
      <w:r w:rsidR="003B701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67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00F4">
        <w:rPr>
          <w:rFonts w:ascii="Times New Roman" w:eastAsia="Times New Roman" w:hAnsi="Times New Roman" w:cs="Times New Roman"/>
          <w:sz w:val="28"/>
          <w:szCs w:val="28"/>
        </w:rPr>
        <w:t xml:space="preserve"> планы</w:t>
      </w:r>
      <w:r w:rsidR="0023190D">
        <w:rPr>
          <w:rFonts w:ascii="Times New Roman" w:eastAsia="Times New Roman" w:hAnsi="Times New Roman" w:cs="Times New Roman"/>
          <w:sz w:val="28"/>
          <w:szCs w:val="28"/>
        </w:rPr>
        <w:t xml:space="preserve"> работы КСК</w:t>
      </w:r>
      <w:r w:rsidRPr="002700F4">
        <w:rPr>
          <w:rFonts w:ascii="Times New Roman" w:eastAsia="Times New Roman" w:hAnsi="Times New Roman" w:cs="Times New Roman"/>
          <w:sz w:val="28"/>
          <w:szCs w:val="28"/>
        </w:rPr>
        <w:t>, отч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00F4">
        <w:rPr>
          <w:rFonts w:ascii="Times New Roman" w:eastAsia="Times New Roman" w:hAnsi="Times New Roman" w:cs="Times New Roman"/>
          <w:sz w:val="28"/>
          <w:szCs w:val="28"/>
        </w:rPr>
        <w:t xml:space="preserve">ты и иные документы, касающиеся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КСК.</w:t>
      </w:r>
    </w:p>
    <w:p w:rsidR="002700F4" w:rsidRDefault="005D78CB" w:rsidP="003F2B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8CB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Контрольно-счетной комиссии за предшествующий год рассмотрен и принят Советом Грачевского муниципального </w:t>
      </w:r>
      <w:r w:rsidRPr="009826C3">
        <w:rPr>
          <w:rFonts w:ascii="Times New Roman" w:eastAsia="Times New Roman" w:hAnsi="Times New Roman" w:cs="Times New Roman"/>
          <w:sz w:val="28"/>
          <w:szCs w:val="28"/>
        </w:rPr>
        <w:t xml:space="preserve">округа (решение Совета Грачевского муниципального </w:t>
      </w:r>
      <w:r w:rsidR="0051469A" w:rsidRPr="009826C3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B7019" w:rsidRPr="009826C3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9826C3" w:rsidRPr="009826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7019" w:rsidRPr="009826C3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9826C3" w:rsidRPr="009826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7019" w:rsidRPr="009826C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26C3" w:rsidRPr="009826C3">
        <w:rPr>
          <w:rFonts w:ascii="Times New Roman" w:eastAsia="Times New Roman" w:hAnsi="Times New Roman" w:cs="Times New Roman"/>
          <w:sz w:val="28"/>
          <w:szCs w:val="28"/>
        </w:rPr>
        <w:t>46</w:t>
      </w:r>
      <w:r w:rsidR="003B7019" w:rsidRPr="009826C3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r w:rsidRPr="009826C3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Pr="005D78CB">
        <w:rPr>
          <w:rFonts w:ascii="Times New Roman" w:eastAsia="Times New Roman" w:hAnsi="Times New Roman" w:cs="Times New Roman"/>
          <w:sz w:val="28"/>
          <w:szCs w:val="28"/>
        </w:rPr>
        <w:t>змещен в газете «Грачевский вестник».</w:t>
      </w:r>
    </w:p>
    <w:p w:rsidR="002700F4" w:rsidRDefault="00C57F13" w:rsidP="003F2B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F13">
        <w:rPr>
          <w:rFonts w:ascii="Times New Roman" w:eastAsia="Times New Roman" w:hAnsi="Times New Roman" w:cs="Times New Roman"/>
          <w:sz w:val="28"/>
          <w:szCs w:val="28"/>
        </w:rPr>
        <w:t>В рамках реализации полномочий по участию в мероприятиях, направленных на противодействие коррупции, сотрудниками Контрольно-счетной комиссии в установленные сроки представлены сведения о доходах, расходах, об имуществе и обязательствах имущественного характера.</w:t>
      </w:r>
    </w:p>
    <w:p w:rsidR="001D270B" w:rsidRPr="001D270B" w:rsidRDefault="003F2BBF" w:rsidP="001D27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70B" w:rsidRPr="001D270B">
        <w:rPr>
          <w:rFonts w:ascii="Times New Roman" w:eastAsia="Times New Roman" w:hAnsi="Times New Roman" w:cs="Times New Roman"/>
          <w:sz w:val="28"/>
          <w:szCs w:val="28"/>
        </w:rPr>
        <w:t>Как и в предыдущие годы, деятельность Контрольно-счетн</w:t>
      </w:r>
      <w:r w:rsidR="001D270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D270B" w:rsidRPr="001D270B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1D270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270B" w:rsidRPr="001D270B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осуществлялась в тесном взаимодействии со всеми органами местного самоуправления, правоохранительными, финансовыми, контролирующими и иными органами и организациями.</w:t>
      </w:r>
    </w:p>
    <w:p w:rsidR="001D270B" w:rsidRPr="001D270B" w:rsidRDefault="0055570C" w:rsidP="001D27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70C">
        <w:rPr>
          <w:rFonts w:ascii="Times New Roman" w:eastAsia="Times New Roman" w:hAnsi="Times New Roman" w:cs="Times New Roman"/>
          <w:sz w:val="28"/>
          <w:szCs w:val="28"/>
        </w:rPr>
        <w:t>В течение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570C">
        <w:rPr>
          <w:rFonts w:ascii="Times New Roman" w:eastAsia="Times New Roman" w:hAnsi="Times New Roman" w:cs="Times New Roman"/>
          <w:sz w:val="28"/>
          <w:szCs w:val="28"/>
        </w:rPr>
        <w:t xml:space="preserve"> года сотрудники Контрольно-счетной комиссии принимали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</w:t>
      </w:r>
      <w:r w:rsidRPr="0055570C">
        <w:rPr>
          <w:rFonts w:ascii="Times New Roman" w:eastAsia="Times New Roman" w:hAnsi="Times New Roman" w:cs="Times New Roman"/>
          <w:sz w:val="28"/>
          <w:szCs w:val="28"/>
        </w:rPr>
        <w:t xml:space="preserve">участие в заседаниях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D270B" w:rsidRPr="001D270B">
        <w:rPr>
          <w:rFonts w:ascii="Times New Roman" w:eastAsia="Times New Roman" w:hAnsi="Times New Roman" w:cs="Times New Roman"/>
          <w:sz w:val="28"/>
          <w:szCs w:val="28"/>
        </w:rPr>
        <w:t xml:space="preserve"> в работе комитетов Совета Грачевского муниципального округа Ставропольского края. </w:t>
      </w:r>
    </w:p>
    <w:p w:rsidR="001D270B" w:rsidRPr="001D270B" w:rsidRDefault="001D270B" w:rsidP="001D27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70B">
        <w:rPr>
          <w:rFonts w:ascii="Times New Roman" w:eastAsia="Times New Roman" w:hAnsi="Times New Roman" w:cs="Times New Roman"/>
          <w:sz w:val="28"/>
          <w:szCs w:val="28"/>
        </w:rPr>
        <w:t>С целью взаимодействия в деле предупреждения, пресечения и выявления правонарушений, связанных с незаконным и нецелевым использованием средств, муниципального имущества, в 2021 году Контрольно-счетная комиссия направляла материалы по результатам провед</w:t>
      </w:r>
      <w:r w:rsidR="005557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70B">
        <w:rPr>
          <w:rFonts w:ascii="Times New Roman" w:eastAsia="Times New Roman" w:hAnsi="Times New Roman" w:cs="Times New Roman"/>
          <w:sz w:val="28"/>
          <w:szCs w:val="28"/>
        </w:rPr>
        <w:t xml:space="preserve">нных проверок в </w:t>
      </w:r>
      <w:r w:rsidR="00971C29" w:rsidRPr="00971C29">
        <w:rPr>
          <w:rFonts w:ascii="Times New Roman" w:eastAsia="Times New Roman" w:hAnsi="Times New Roman" w:cs="Times New Roman"/>
          <w:sz w:val="28"/>
          <w:szCs w:val="28"/>
        </w:rPr>
        <w:t xml:space="preserve">прокуратуру Грачевского района </w:t>
      </w:r>
      <w:r w:rsidR="00971C29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</w:t>
      </w:r>
      <w:r w:rsidR="00971C2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края </w:t>
      </w:r>
      <w:r w:rsidRPr="001D270B">
        <w:rPr>
          <w:rFonts w:ascii="Times New Roman" w:eastAsia="Times New Roman" w:hAnsi="Times New Roman" w:cs="Times New Roman"/>
          <w:sz w:val="28"/>
          <w:szCs w:val="28"/>
        </w:rPr>
        <w:t>для принятия мер реагирования.</w:t>
      </w:r>
    </w:p>
    <w:p w:rsidR="003F2BBF" w:rsidRDefault="001D270B" w:rsidP="001D27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270B">
        <w:rPr>
          <w:rFonts w:ascii="Times New Roman" w:eastAsia="Times New Roman" w:hAnsi="Times New Roman" w:cs="Times New Roman"/>
          <w:sz w:val="28"/>
          <w:szCs w:val="28"/>
        </w:rPr>
        <w:t>В 2021 году продолжалась работа по межрегиональному и межмуниципальному сотрудничеству с другими контрольно-сч</w:t>
      </w:r>
      <w:r w:rsidR="00971C2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70B">
        <w:rPr>
          <w:rFonts w:ascii="Times New Roman" w:eastAsia="Times New Roman" w:hAnsi="Times New Roman" w:cs="Times New Roman"/>
          <w:sz w:val="28"/>
          <w:szCs w:val="28"/>
        </w:rPr>
        <w:t xml:space="preserve">тными органами. </w:t>
      </w:r>
      <w:r w:rsidR="00971C29" w:rsidRPr="00971C29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комиссия </w:t>
      </w:r>
      <w:r w:rsidRPr="001D270B">
        <w:rPr>
          <w:rFonts w:ascii="Times New Roman" w:eastAsia="Times New Roman" w:hAnsi="Times New Roman" w:cs="Times New Roman"/>
          <w:sz w:val="28"/>
          <w:szCs w:val="28"/>
        </w:rPr>
        <w:t>является членом Союза муниципальных контрольно-сч</w:t>
      </w:r>
      <w:r w:rsidR="00971C2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70B">
        <w:rPr>
          <w:rFonts w:ascii="Times New Roman" w:eastAsia="Times New Roman" w:hAnsi="Times New Roman" w:cs="Times New Roman"/>
          <w:sz w:val="28"/>
          <w:szCs w:val="28"/>
        </w:rPr>
        <w:t>тных органов России (СМКСО</w:t>
      </w:r>
      <w:r w:rsidR="00971C29">
        <w:rPr>
          <w:rFonts w:ascii="Times New Roman" w:eastAsia="Times New Roman" w:hAnsi="Times New Roman" w:cs="Times New Roman"/>
          <w:sz w:val="28"/>
          <w:szCs w:val="28"/>
        </w:rPr>
        <w:t>) и</w:t>
      </w:r>
      <w:r w:rsidR="00971C29" w:rsidRPr="00971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270B">
        <w:rPr>
          <w:rFonts w:ascii="Times New Roman" w:eastAsia="Times New Roman" w:hAnsi="Times New Roman" w:cs="Times New Roman"/>
          <w:sz w:val="28"/>
          <w:szCs w:val="28"/>
        </w:rPr>
        <w:t>входит в состав Совета контрольно-сч</w:t>
      </w:r>
      <w:r w:rsidR="00971C2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270B">
        <w:rPr>
          <w:rFonts w:ascii="Times New Roman" w:eastAsia="Times New Roman" w:hAnsi="Times New Roman" w:cs="Times New Roman"/>
          <w:sz w:val="28"/>
          <w:szCs w:val="28"/>
        </w:rPr>
        <w:t xml:space="preserve">тных органов </w:t>
      </w:r>
      <w:r w:rsidR="00971C29">
        <w:rPr>
          <w:rFonts w:ascii="Times New Roman" w:eastAsia="Times New Roman" w:hAnsi="Times New Roman" w:cs="Times New Roman"/>
          <w:sz w:val="28"/>
          <w:szCs w:val="28"/>
        </w:rPr>
        <w:t>при К</w:t>
      </w:r>
      <w:r w:rsidR="00971C29" w:rsidRPr="00971C29">
        <w:rPr>
          <w:rFonts w:ascii="Times New Roman" w:eastAsia="Times New Roman" w:hAnsi="Times New Roman" w:cs="Times New Roman"/>
          <w:sz w:val="28"/>
          <w:szCs w:val="28"/>
        </w:rPr>
        <w:t>онтрольно-счетн</w:t>
      </w:r>
      <w:r w:rsidR="00971C29">
        <w:rPr>
          <w:rFonts w:ascii="Times New Roman" w:eastAsia="Times New Roman" w:hAnsi="Times New Roman" w:cs="Times New Roman"/>
          <w:sz w:val="28"/>
          <w:szCs w:val="28"/>
        </w:rPr>
        <w:t>ой палате</w:t>
      </w:r>
      <w:r w:rsidR="00971C29" w:rsidRPr="00971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C29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1D27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70B" w:rsidRDefault="00971C29" w:rsidP="001A5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 xml:space="preserve">года Контрольно-счетная комиссия в рамках деятельности Союза муниципальных контрольно-счетных органов (МКСО) и </w:t>
      </w:r>
      <w:r w:rsidR="0055570C" w:rsidRPr="0055570C">
        <w:rPr>
          <w:rFonts w:ascii="Times New Roman" w:eastAsia="Times New Roman" w:hAnsi="Times New Roman" w:cs="Times New Roman"/>
          <w:sz w:val="28"/>
          <w:szCs w:val="28"/>
        </w:rPr>
        <w:t xml:space="preserve">Совета контрольно-счетных органов при Контрольно-счетной палате Ставропольского края </w:t>
      </w:r>
      <w:r w:rsidRPr="00971C29">
        <w:rPr>
          <w:rFonts w:ascii="Times New Roman" w:eastAsia="Times New Roman" w:hAnsi="Times New Roman" w:cs="Times New Roman"/>
          <w:sz w:val="28"/>
          <w:szCs w:val="28"/>
        </w:rPr>
        <w:t>неоднократно принимала участие в видеоконференциях, межрегиональ</w:t>
      </w:r>
      <w:r w:rsidR="001A5695">
        <w:rPr>
          <w:rFonts w:ascii="Times New Roman" w:eastAsia="Times New Roman" w:hAnsi="Times New Roman" w:cs="Times New Roman"/>
          <w:sz w:val="28"/>
          <w:szCs w:val="28"/>
        </w:rPr>
        <w:t xml:space="preserve">ных круглых столах, совещаниях, в </w:t>
      </w:r>
      <w:r w:rsidR="001A5695" w:rsidRPr="001A5695">
        <w:rPr>
          <w:rFonts w:ascii="Times New Roman" w:eastAsia="Times New Roman" w:hAnsi="Times New Roman" w:cs="Times New Roman"/>
          <w:sz w:val="28"/>
          <w:szCs w:val="28"/>
        </w:rPr>
        <w:t>ходе которых обсуждались актуальные вопросы деятельности контрольно-счетных органов</w:t>
      </w:r>
      <w:r w:rsidR="005557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70B" w:rsidRDefault="003B7019" w:rsidP="008A6F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019">
        <w:rPr>
          <w:rFonts w:ascii="Times New Roman" w:eastAsia="Times New Roman" w:hAnsi="Times New Roman" w:cs="Times New Roman"/>
          <w:sz w:val="28"/>
          <w:szCs w:val="28"/>
        </w:rPr>
        <w:t>Необходимым условием эффективной работы органа внешнего финансового контроля является повышение профессионального уровня специалистов</w:t>
      </w:r>
      <w:r w:rsidRPr="007A390B">
        <w:rPr>
          <w:rFonts w:ascii="Times New Roman" w:eastAsia="Times New Roman" w:hAnsi="Times New Roman" w:cs="Times New Roman"/>
          <w:sz w:val="28"/>
          <w:szCs w:val="28"/>
        </w:rPr>
        <w:t xml:space="preserve">. В отчетном году 1 сотрудник Контрольно-счетной комиссии прошел </w:t>
      </w:r>
      <w:proofErr w:type="gramStart"/>
      <w:r w:rsidRPr="007A390B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7A390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развития (повышения квалификации).</w:t>
      </w:r>
    </w:p>
    <w:p w:rsidR="008A6F3D" w:rsidRDefault="005D459F" w:rsidP="004E5B6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459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Подводя итоги деятельности Контрольно-счетной комиссии за 2021 год можно отметить, что полномочия, возложенные законодательством и правовыми актами Грачевского муниципального округа Ставропольского края, реализованы в полном объеме.</w:t>
      </w:r>
    </w:p>
    <w:p w:rsidR="005D459F" w:rsidRDefault="005D459F" w:rsidP="004E5B6C">
      <w:pPr>
        <w:pStyle w:val="af2"/>
        <w:widowControl w:val="0"/>
        <w:shd w:val="clear" w:color="auto" w:fill="FFFFFF"/>
        <w:ind w:firstLine="709"/>
        <w:jc w:val="center"/>
        <w:rPr>
          <w:rFonts w:eastAsia="Calibri" w:cs="Times New Roman"/>
          <w:b/>
          <w:sz w:val="28"/>
          <w:szCs w:val="28"/>
          <w:lang w:val="ru-RU"/>
        </w:rPr>
      </w:pPr>
    </w:p>
    <w:p w:rsidR="00367DEB" w:rsidRDefault="008A6F3D" w:rsidP="004E5B6C">
      <w:pPr>
        <w:pStyle w:val="af2"/>
        <w:widowControl w:val="0"/>
        <w:shd w:val="clear" w:color="auto" w:fill="FFFFFF"/>
        <w:ind w:firstLine="709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eastAsia="Calibri" w:cs="Times New Roman"/>
          <w:b/>
          <w:sz w:val="28"/>
          <w:szCs w:val="28"/>
          <w:lang w:val="ru-RU"/>
        </w:rPr>
        <w:t>6</w:t>
      </w:r>
      <w:r w:rsidR="007A5914">
        <w:rPr>
          <w:rFonts w:cs="Times New Roman"/>
          <w:b/>
          <w:sz w:val="28"/>
          <w:szCs w:val="28"/>
          <w:lang w:val="ru-RU"/>
        </w:rPr>
        <w:t xml:space="preserve">. Основные направления деятельности Контрольно-счетной комиссии </w:t>
      </w:r>
      <w:r>
        <w:rPr>
          <w:rFonts w:cs="Times New Roman"/>
          <w:b/>
          <w:sz w:val="28"/>
          <w:szCs w:val="28"/>
          <w:lang w:val="ru-RU"/>
        </w:rPr>
        <w:t>на</w:t>
      </w:r>
      <w:r w:rsidR="007A5914">
        <w:rPr>
          <w:rFonts w:cs="Times New Roman"/>
          <w:b/>
          <w:sz w:val="28"/>
          <w:szCs w:val="28"/>
          <w:lang w:val="ru-RU"/>
        </w:rPr>
        <w:t xml:space="preserve"> 202</w:t>
      </w:r>
      <w:r>
        <w:rPr>
          <w:rFonts w:cs="Times New Roman"/>
          <w:b/>
          <w:sz w:val="28"/>
          <w:szCs w:val="28"/>
          <w:lang w:val="ru-RU"/>
        </w:rPr>
        <w:t>2</w:t>
      </w:r>
      <w:r w:rsidR="007A5914"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454378" w:rsidRDefault="00454378" w:rsidP="004E5B6C">
      <w:pPr>
        <w:pStyle w:val="af2"/>
        <w:widowControl w:val="0"/>
        <w:shd w:val="clear" w:color="auto" w:fill="FFFFFF"/>
        <w:ind w:firstLine="709"/>
        <w:jc w:val="center"/>
        <w:rPr>
          <w:rFonts w:cs="Times New Roman"/>
          <w:b/>
          <w:sz w:val="28"/>
          <w:szCs w:val="28"/>
          <w:lang w:val="ru-RU"/>
        </w:rPr>
      </w:pPr>
    </w:p>
    <w:p w:rsidR="00367DEB" w:rsidRPr="00454378" w:rsidRDefault="00876062" w:rsidP="004E5B6C">
      <w:pPr>
        <w:pStyle w:val="af2"/>
        <w:widowControl w:val="0"/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74D97">
        <w:rPr>
          <w:sz w:val="28"/>
          <w:szCs w:val="28"/>
          <w:lang w:val="ru-RU"/>
        </w:rPr>
        <w:t xml:space="preserve">Основные направления Контрольно-счетной комиссии на 2022 год сформированы в соответствии с задачами и функциями, возложенными на </w:t>
      </w:r>
      <w:r w:rsidRPr="00454378">
        <w:rPr>
          <w:sz w:val="28"/>
          <w:szCs w:val="28"/>
          <w:lang w:val="ru-RU"/>
        </w:rPr>
        <w:t xml:space="preserve">контрольно-счетный орган </w:t>
      </w:r>
      <w:r w:rsidR="00987272" w:rsidRPr="00454378">
        <w:rPr>
          <w:sz w:val="28"/>
          <w:szCs w:val="28"/>
          <w:lang w:val="ru-RU"/>
        </w:rPr>
        <w:t xml:space="preserve">Федеральный закон № 6-ФЗ </w:t>
      </w:r>
      <w:r w:rsidR="007A5914" w:rsidRPr="00454378">
        <w:rPr>
          <w:rFonts w:cs="Times New Roman"/>
          <w:sz w:val="28"/>
          <w:szCs w:val="28"/>
          <w:lang w:val="ru-RU"/>
        </w:rPr>
        <w:t>и БК РФ</w:t>
      </w:r>
      <w:r w:rsidR="00454378" w:rsidRPr="00454378">
        <w:rPr>
          <w:rFonts w:cs="Times New Roman"/>
          <w:sz w:val="28"/>
          <w:szCs w:val="28"/>
          <w:lang w:val="ru-RU"/>
        </w:rPr>
        <w:t>.</w:t>
      </w:r>
    </w:p>
    <w:p w:rsidR="00987272" w:rsidRPr="00987272" w:rsidRDefault="00987272" w:rsidP="00987272">
      <w:pPr>
        <w:pStyle w:val="af2"/>
        <w:widowControl w:val="0"/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</w:t>
      </w:r>
      <w:r w:rsidRPr="00987272">
        <w:rPr>
          <w:rFonts w:cs="Times New Roman"/>
          <w:sz w:val="28"/>
          <w:szCs w:val="28"/>
          <w:lang w:val="ru-RU"/>
        </w:rPr>
        <w:t xml:space="preserve">лючевыми направлениями деятельности Контрольно-счетной комиссии будут являться анализ и контроль исполнения бюджета, </w:t>
      </w:r>
      <w:proofErr w:type="gramStart"/>
      <w:r w:rsidRPr="00987272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987272">
        <w:rPr>
          <w:rFonts w:cs="Times New Roman"/>
          <w:sz w:val="28"/>
          <w:szCs w:val="28"/>
          <w:lang w:val="ru-RU"/>
        </w:rPr>
        <w:t xml:space="preserve"> ходом реализации муниципальных программ Грачевского муниципального округа, за законностью и эффективностью использования бюджетных средств и муниципального имущества, аудит в сфере закупок.</w:t>
      </w:r>
    </w:p>
    <w:p w:rsidR="00987272" w:rsidRDefault="00987272" w:rsidP="00987272">
      <w:pPr>
        <w:pStyle w:val="af2"/>
        <w:widowControl w:val="0"/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87272">
        <w:rPr>
          <w:rFonts w:cs="Times New Roman"/>
          <w:sz w:val="28"/>
          <w:szCs w:val="28"/>
          <w:lang w:val="ru-RU"/>
        </w:rPr>
        <w:t>В 2022 году в своей работе Контрольно-счетн</w:t>
      </w:r>
      <w:r>
        <w:rPr>
          <w:rFonts w:cs="Times New Roman"/>
          <w:sz w:val="28"/>
          <w:szCs w:val="28"/>
          <w:lang w:val="ru-RU"/>
        </w:rPr>
        <w:t>ая</w:t>
      </w:r>
      <w:r w:rsidRPr="00987272">
        <w:rPr>
          <w:rFonts w:cs="Times New Roman"/>
          <w:sz w:val="28"/>
          <w:szCs w:val="28"/>
          <w:lang w:val="ru-RU"/>
        </w:rPr>
        <w:t xml:space="preserve"> комисси</w:t>
      </w:r>
      <w:r>
        <w:rPr>
          <w:rFonts w:cs="Times New Roman"/>
          <w:sz w:val="28"/>
          <w:szCs w:val="28"/>
          <w:lang w:val="ru-RU"/>
        </w:rPr>
        <w:t>я</w:t>
      </w:r>
      <w:r w:rsidRPr="00987272">
        <w:rPr>
          <w:rFonts w:cs="Times New Roman"/>
          <w:sz w:val="28"/>
          <w:szCs w:val="28"/>
          <w:lang w:val="ru-RU"/>
        </w:rPr>
        <w:t xml:space="preserve"> продолжит начатый курс на усиление контроля за полнотой и своевременностью принятия мер по устранению нарушений и недостатков, выявленных в ходе контрольных и экспертно-аналитических мероприятий.</w:t>
      </w:r>
    </w:p>
    <w:p w:rsidR="00987272" w:rsidRDefault="00987272" w:rsidP="004E5B6C">
      <w:pPr>
        <w:pStyle w:val="af2"/>
        <w:widowControl w:val="0"/>
        <w:shd w:val="clear" w:color="auto" w:fill="FFFFFF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87272">
        <w:rPr>
          <w:rFonts w:cs="Times New Roman"/>
          <w:sz w:val="28"/>
          <w:szCs w:val="28"/>
          <w:lang w:val="ru-RU"/>
        </w:rPr>
        <w:t xml:space="preserve">Реализация данных задач способствует обеспечению устойчивого повышения роли Контрольно-счетной комиссии в социально-экономическом развитии Грачевского муниципального округа, предупреждению, пресечению и недопущению нецелевого и неэффективного расходования средств </w:t>
      </w:r>
      <w:r>
        <w:rPr>
          <w:rFonts w:cs="Times New Roman"/>
          <w:sz w:val="28"/>
          <w:szCs w:val="28"/>
          <w:lang w:val="ru-RU"/>
        </w:rPr>
        <w:t>местного</w:t>
      </w:r>
      <w:r w:rsidRPr="00987272">
        <w:rPr>
          <w:rFonts w:cs="Times New Roman"/>
          <w:sz w:val="28"/>
          <w:szCs w:val="28"/>
          <w:lang w:val="ru-RU"/>
        </w:rPr>
        <w:t xml:space="preserve"> бюджета.</w:t>
      </w:r>
    </w:p>
    <w:p w:rsidR="00367DEB" w:rsidRPr="00454378" w:rsidRDefault="008B7BA4" w:rsidP="004E5B6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378">
        <w:rPr>
          <w:rFonts w:ascii="Times New Roman" w:hAnsi="Times New Roman" w:cs="Times New Roman"/>
          <w:sz w:val="28"/>
          <w:szCs w:val="28"/>
        </w:rPr>
        <w:t xml:space="preserve">Важными составляющими в работе Контрольно-счетной комиссии в 2022 году остаются обеспечение методологического единства, качества </w:t>
      </w:r>
      <w:r w:rsidRPr="00454378">
        <w:rPr>
          <w:rFonts w:ascii="Times New Roman" w:hAnsi="Times New Roman" w:cs="Times New Roman"/>
          <w:sz w:val="28"/>
          <w:szCs w:val="28"/>
        </w:rPr>
        <w:lastRenderedPageBreak/>
        <w:t>организации и осуществления внешнего муниципального финансового контроля, повышение результативности контрольной и экспертно-аналитической деятельности, дальнейшее конструктивное взаимодействие с Советом Грачевского муниципального округа Ставропольского края, главой и администрацией Грачевского муниципального округа Ставропольского края по реализации рекомендаций Контрольно-счетной комиссии, направленных на совершенствование нормативно-правовой базы, принятие мер по устранению и</w:t>
      </w:r>
      <w:proofErr w:type="gramEnd"/>
      <w:r w:rsidRPr="00454378">
        <w:rPr>
          <w:rFonts w:ascii="Times New Roman" w:hAnsi="Times New Roman" w:cs="Times New Roman"/>
          <w:sz w:val="28"/>
          <w:szCs w:val="28"/>
        </w:rPr>
        <w:t xml:space="preserve"> профилактике нарушений.</w:t>
      </w:r>
    </w:p>
    <w:p w:rsidR="009959B7" w:rsidRDefault="009959B7" w:rsidP="004E5B6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378" w:rsidRDefault="00454378" w:rsidP="004E5B6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378" w:rsidRDefault="00454378" w:rsidP="004E5B6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4378" w:rsidSect="000024E1">
      <w:headerReference w:type="default" r:id="rId10"/>
      <w:headerReference w:type="first" r:id="rId11"/>
      <w:pgSz w:w="11906" w:h="16838"/>
      <w:pgMar w:top="1134" w:right="567" w:bottom="1134" w:left="1814" w:header="624" w:footer="113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89" w:rsidRDefault="00650189">
      <w:pPr>
        <w:spacing w:after="0" w:line="240" w:lineRule="auto"/>
      </w:pPr>
      <w:r>
        <w:separator/>
      </w:r>
    </w:p>
  </w:endnote>
  <w:endnote w:type="continuationSeparator" w:id="0">
    <w:p w:rsidR="00650189" w:rsidRDefault="0065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89" w:rsidRDefault="00650189">
      <w:pPr>
        <w:spacing w:after="0" w:line="240" w:lineRule="auto"/>
      </w:pPr>
      <w:r>
        <w:separator/>
      </w:r>
    </w:p>
  </w:footnote>
  <w:footnote w:type="continuationSeparator" w:id="0">
    <w:p w:rsidR="00650189" w:rsidRDefault="00650189">
      <w:pPr>
        <w:spacing w:after="0" w:line="240" w:lineRule="auto"/>
      </w:pPr>
      <w:r>
        <w:continuationSeparator/>
      </w:r>
    </w:p>
  </w:footnote>
  <w:footnote w:id="1">
    <w:p w:rsidR="00F37E82" w:rsidRDefault="00F37E82" w:rsidP="004B5EFB">
      <w:pPr>
        <w:pStyle w:val="af7"/>
        <w:jc w:val="both"/>
        <w:rPr>
          <w:rFonts w:ascii="Times New Roman" w:hAnsi="Times New Roman"/>
        </w:rPr>
      </w:pPr>
      <w:r>
        <w:rPr>
          <w:rStyle w:val="afd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Решение </w:t>
      </w:r>
      <w:r w:rsidRPr="000B2F0A">
        <w:rPr>
          <w:rFonts w:ascii="Times New Roman" w:hAnsi="Times New Roman"/>
        </w:rPr>
        <w:t xml:space="preserve">Совета Грачевского муниципального округа Ставропольского края </w:t>
      </w:r>
      <w:r>
        <w:rPr>
          <w:rFonts w:ascii="Times New Roman" w:hAnsi="Times New Roman"/>
        </w:rPr>
        <w:t xml:space="preserve">от 07.12.2020 № 64 </w:t>
      </w:r>
      <w:r w:rsidRPr="00911219">
        <w:rPr>
          <w:rFonts w:ascii="Times New Roman" w:hAnsi="Times New Roman"/>
        </w:rPr>
        <w:t>стать</w:t>
      </w:r>
      <w:r>
        <w:rPr>
          <w:rFonts w:ascii="Times New Roman" w:hAnsi="Times New Roman"/>
        </w:rPr>
        <w:t xml:space="preserve">я </w:t>
      </w:r>
      <w:r w:rsidRPr="00911219">
        <w:rPr>
          <w:rFonts w:ascii="Times New Roman" w:hAnsi="Times New Roman"/>
        </w:rPr>
        <w:t xml:space="preserve">1  </w:t>
      </w:r>
      <w:r>
        <w:rPr>
          <w:rFonts w:ascii="Times New Roman" w:hAnsi="Times New Roman"/>
        </w:rPr>
        <w:t xml:space="preserve">«Об утверждении Положения </w:t>
      </w:r>
      <w:r w:rsidRPr="00911219">
        <w:rPr>
          <w:rFonts w:ascii="Times New Roman" w:hAnsi="Times New Roman"/>
        </w:rPr>
        <w:t>о Контрольно-счетной комиссии Грачевского муниципального округа Ставропольского края</w:t>
      </w:r>
      <w:r>
        <w:rPr>
          <w:rFonts w:ascii="Times New Roman" w:hAnsi="Times New Roman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084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37E82" w:rsidRPr="009959B7" w:rsidRDefault="00F37E82">
        <w:pPr>
          <w:pStyle w:val="af4"/>
          <w:jc w:val="center"/>
          <w:rPr>
            <w:rFonts w:ascii="Times New Roman" w:hAnsi="Times New Roman" w:cs="Times New Roman"/>
            <w:sz w:val="24"/>
          </w:rPr>
        </w:pPr>
        <w:r w:rsidRPr="009959B7">
          <w:rPr>
            <w:rFonts w:ascii="Times New Roman" w:hAnsi="Times New Roman" w:cs="Times New Roman"/>
            <w:sz w:val="24"/>
          </w:rPr>
          <w:fldChar w:fldCharType="begin"/>
        </w:r>
        <w:r w:rsidRPr="009959B7">
          <w:rPr>
            <w:rFonts w:ascii="Times New Roman" w:hAnsi="Times New Roman" w:cs="Times New Roman"/>
            <w:sz w:val="24"/>
          </w:rPr>
          <w:instrText>PAGE   \* MERGEFORMAT</w:instrText>
        </w:r>
        <w:r w:rsidRPr="009959B7">
          <w:rPr>
            <w:rFonts w:ascii="Times New Roman" w:hAnsi="Times New Roman" w:cs="Times New Roman"/>
            <w:sz w:val="24"/>
          </w:rPr>
          <w:fldChar w:fldCharType="separate"/>
        </w:r>
        <w:r w:rsidR="008A42FD">
          <w:rPr>
            <w:rFonts w:ascii="Times New Roman" w:hAnsi="Times New Roman" w:cs="Times New Roman"/>
            <w:noProof/>
            <w:sz w:val="24"/>
          </w:rPr>
          <w:t>2</w:t>
        </w:r>
        <w:r w:rsidRPr="009959B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82" w:rsidRDefault="00F37E82">
    <w:pPr>
      <w:pStyle w:val="af4"/>
      <w:jc w:val="center"/>
    </w:pPr>
  </w:p>
  <w:p w:rsidR="00F37E82" w:rsidRDefault="00F37E8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F6214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3B3F88"/>
    <w:multiLevelType w:val="hybridMultilevel"/>
    <w:tmpl w:val="16CE637A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8D5732D"/>
    <w:multiLevelType w:val="hybridMultilevel"/>
    <w:tmpl w:val="D4E61F76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1DEC151E"/>
    <w:multiLevelType w:val="hybridMultilevel"/>
    <w:tmpl w:val="1B32B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5F9F"/>
    <w:multiLevelType w:val="hybridMultilevel"/>
    <w:tmpl w:val="41A234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216955"/>
    <w:multiLevelType w:val="hybridMultilevel"/>
    <w:tmpl w:val="519C5E3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080AAF"/>
    <w:multiLevelType w:val="hybridMultilevel"/>
    <w:tmpl w:val="06FAF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74ED3"/>
    <w:multiLevelType w:val="hybridMultilevel"/>
    <w:tmpl w:val="96BC2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EB"/>
    <w:rsid w:val="0000115A"/>
    <w:rsid w:val="000024E1"/>
    <w:rsid w:val="000027D5"/>
    <w:rsid w:val="00027009"/>
    <w:rsid w:val="00046BA5"/>
    <w:rsid w:val="00054C7C"/>
    <w:rsid w:val="00055679"/>
    <w:rsid w:val="0006721E"/>
    <w:rsid w:val="000718A9"/>
    <w:rsid w:val="000807F4"/>
    <w:rsid w:val="00080A99"/>
    <w:rsid w:val="00080D00"/>
    <w:rsid w:val="000922A8"/>
    <w:rsid w:val="000957DD"/>
    <w:rsid w:val="000B2F0A"/>
    <w:rsid w:val="000D09AC"/>
    <w:rsid w:val="000E0AA3"/>
    <w:rsid w:val="000F68A9"/>
    <w:rsid w:val="00100A96"/>
    <w:rsid w:val="00101CFB"/>
    <w:rsid w:val="00114F2D"/>
    <w:rsid w:val="0012553E"/>
    <w:rsid w:val="00131F28"/>
    <w:rsid w:val="001337BC"/>
    <w:rsid w:val="00133F22"/>
    <w:rsid w:val="001477D2"/>
    <w:rsid w:val="00147D81"/>
    <w:rsid w:val="00153D43"/>
    <w:rsid w:val="00157628"/>
    <w:rsid w:val="00163997"/>
    <w:rsid w:val="00174B30"/>
    <w:rsid w:val="00175208"/>
    <w:rsid w:val="001806A3"/>
    <w:rsid w:val="00184182"/>
    <w:rsid w:val="001927D5"/>
    <w:rsid w:val="00195FB4"/>
    <w:rsid w:val="001A19AB"/>
    <w:rsid w:val="001A5695"/>
    <w:rsid w:val="001A671C"/>
    <w:rsid w:val="001B1C5E"/>
    <w:rsid w:val="001B1EF3"/>
    <w:rsid w:val="001B2309"/>
    <w:rsid w:val="001B731A"/>
    <w:rsid w:val="001C219C"/>
    <w:rsid w:val="001C7C5F"/>
    <w:rsid w:val="001D270B"/>
    <w:rsid w:val="001D7FAC"/>
    <w:rsid w:val="001F1FBC"/>
    <w:rsid w:val="001F7AA6"/>
    <w:rsid w:val="00205A8B"/>
    <w:rsid w:val="00207317"/>
    <w:rsid w:val="00217F39"/>
    <w:rsid w:val="002260F1"/>
    <w:rsid w:val="00227992"/>
    <w:rsid w:val="0023190D"/>
    <w:rsid w:val="00233316"/>
    <w:rsid w:val="00244AC1"/>
    <w:rsid w:val="00247C72"/>
    <w:rsid w:val="00251879"/>
    <w:rsid w:val="002522D1"/>
    <w:rsid w:val="002548C5"/>
    <w:rsid w:val="00255BE3"/>
    <w:rsid w:val="00263029"/>
    <w:rsid w:val="00267100"/>
    <w:rsid w:val="002700F4"/>
    <w:rsid w:val="00272B82"/>
    <w:rsid w:val="00274A52"/>
    <w:rsid w:val="0028423F"/>
    <w:rsid w:val="002859D0"/>
    <w:rsid w:val="00294F6F"/>
    <w:rsid w:val="002A2025"/>
    <w:rsid w:val="002A3980"/>
    <w:rsid w:val="002A5A1E"/>
    <w:rsid w:val="002B1158"/>
    <w:rsid w:val="002C2C46"/>
    <w:rsid w:val="002C4000"/>
    <w:rsid w:val="002C6651"/>
    <w:rsid w:val="002E5815"/>
    <w:rsid w:val="002E6B69"/>
    <w:rsid w:val="002E7763"/>
    <w:rsid w:val="002F6538"/>
    <w:rsid w:val="0032538F"/>
    <w:rsid w:val="00335875"/>
    <w:rsid w:val="0034036F"/>
    <w:rsid w:val="00344A23"/>
    <w:rsid w:val="003607E0"/>
    <w:rsid w:val="00367DEB"/>
    <w:rsid w:val="00367F0B"/>
    <w:rsid w:val="00370803"/>
    <w:rsid w:val="00375771"/>
    <w:rsid w:val="00376492"/>
    <w:rsid w:val="0038296E"/>
    <w:rsid w:val="003835F0"/>
    <w:rsid w:val="00394B81"/>
    <w:rsid w:val="003B0429"/>
    <w:rsid w:val="003B486E"/>
    <w:rsid w:val="003B7019"/>
    <w:rsid w:val="003C20CF"/>
    <w:rsid w:val="003D17C0"/>
    <w:rsid w:val="003E1BAB"/>
    <w:rsid w:val="003E6136"/>
    <w:rsid w:val="003F2BBF"/>
    <w:rsid w:val="004161AE"/>
    <w:rsid w:val="00433C7A"/>
    <w:rsid w:val="00452E83"/>
    <w:rsid w:val="00454378"/>
    <w:rsid w:val="004572B8"/>
    <w:rsid w:val="00464037"/>
    <w:rsid w:val="0047097D"/>
    <w:rsid w:val="0047172A"/>
    <w:rsid w:val="00474D97"/>
    <w:rsid w:val="004818F6"/>
    <w:rsid w:val="00482647"/>
    <w:rsid w:val="00487760"/>
    <w:rsid w:val="004B3F7C"/>
    <w:rsid w:val="004B58E8"/>
    <w:rsid w:val="004B5EFB"/>
    <w:rsid w:val="004B68E5"/>
    <w:rsid w:val="004C780D"/>
    <w:rsid w:val="004D6F9E"/>
    <w:rsid w:val="004E124B"/>
    <w:rsid w:val="004E5B6C"/>
    <w:rsid w:val="004F36BF"/>
    <w:rsid w:val="004F3DCE"/>
    <w:rsid w:val="004F569C"/>
    <w:rsid w:val="004F5D9B"/>
    <w:rsid w:val="00501C98"/>
    <w:rsid w:val="0051469A"/>
    <w:rsid w:val="005315BC"/>
    <w:rsid w:val="00533569"/>
    <w:rsid w:val="00537CED"/>
    <w:rsid w:val="00542F1A"/>
    <w:rsid w:val="005445C2"/>
    <w:rsid w:val="0055570C"/>
    <w:rsid w:val="00562994"/>
    <w:rsid w:val="00577137"/>
    <w:rsid w:val="005873B1"/>
    <w:rsid w:val="00590A97"/>
    <w:rsid w:val="0059574B"/>
    <w:rsid w:val="0059696D"/>
    <w:rsid w:val="005A5172"/>
    <w:rsid w:val="005A51AF"/>
    <w:rsid w:val="005A6186"/>
    <w:rsid w:val="005B07D6"/>
    <w:rsid w:val="005C565B"/>
    <w:rsid w:val="005C7E38"/>
    <w:rsid w:val="005D33BC"/>
    <w:rsid w:val="005D459F"/>
    <w:rsid w:val="005D78CB"/>
    <w:rsid w:val="00606560"/>
    <w:rsid w:val="00620422"/>
    <w:rsid w:val="00624D4B"/>
    <w:rsid w:val="00631377"/>
    <w:rsid w:val="00631F39"/>
    <w:rsid w:val="00650189"/>
    <w:rsid w:val="00653864"/>
    <w:rsid w:val="00665F30"/>
    <w:rsid w:val="0067481E"/>
    <w:rsid w:val="006B3AF2"/>
    <w:rsid w:val="006B7B43"/>
    <w:rsid w:val="006E41E8"/>
    <w:rsid w:val="006F1F47"/>
    <w:rsid w:val="007039BF"/>
    <w:rsid w:val="00705266"/>
    <w:rsid w:val="007348CB"/>
    <w:rsid w:val="00743489"/>
    <w:rsid w:val="0074568F"/>
    <w:rsid w:val="0074617B"/>
    <w:rsid w:val="00747303"/>
    <w:rsid w:val="00751F79"/>
    <w:rsid w:val="00753BB2"/>
    <w:rsid w:val="00763D5D"/>
    <w:rsid w:val="00765A68"/>
    <w:rsid w:val="00787B16"/>
    <w:rsid w:val="007A390B"/>
    <w:rsid w:val="007A4503"/>
    <w:rsid w:val="007A5914"/>
    <w:rsid w:val="007C1D63"/>
    <w:rsid w:val="007C6D96"/>
    <w:rsid w:val="007D472E"/>
    <w:rsid w:val="007E0277"/>
    <w:rsid w:val="007E7DE7"/>
    <w:rsid w:val="008048DB"/>
    <w:rsid w:val="00817754"/>
    <w:rsid w:val="0082153E"/>
    <w:rsid w:val="0082380F"/>
    <w:rsid w:val="00825711"/>
    <w:rsid w:val="008325DF"/>
    <w:rsid w:val="008427C0"/>
    <w:rsid w:val="00847C7D"/>
    <w:rsid w:val="008742F7"/>
    <w:rsid w:val="00876062"/>
    <w:rsid w:val="00886965"/>
    <w:rsid w:val="008935FB"/>
    <w:rsid w:val="008A151C"/>
    <w:rsid w:val="008A3AE8"/>
    <w:rsid w:val="008A3F48"/>
    <w:rsid w:val="008A42FD"/>
    <w:rsid w:val="008A6F3D"/>
    <w:rsid w:val="008B3C87"/>
    <w:rsid w:val="008B7BA4"/>
    <w:rsid w:val="008D3A02"/>
    <w:rsid w:val="008D4308"/>
    <w:rsid w:val="008D654D"/>
    <w:rsid w:val="008E1A56"/>
    <w:rsid w:val="008F3172"/>
    <w:rsid w:val="009030D5"/>
    <w:rsid w:val="00911219"/>
    <w:rsid w:val="009306E3"/>
    <w:rsid w:val="00937384"/>
    <w:rsid w:val="009445FB"/>
    <w:rsid w:val="00947156"/>
    <w:rsid w:val="00947B9C"/>
    <w:rsid w:val="009554A9"/>
    <w:rsid w:val="00961455"/>
    <w:rsid w:val="009618C8"/>
    <w:rsid w:val="00966A88"/>
    <w:rsid w:val="00971C29"/>
    <w:rsid w:val="009826C3"/>
    <w:rsid w:val="00982DE0"/>
    <w:rsid w:val="00987272"/>
    <w:rsid w:val="009959B7"/>
    <w:rsid w:val="009C2932"/>
    <w:rsid w:val="009C6DEF"/>
    <w:rsid w:val="009D1B48"/>
    <w:rsid w:val="009D2CE3"/>
    <w:rsid w:val="009E2854"/>
    <w:rsid w:val="00A05A99"/>
    <w:rsid w:val="00A06D72"/>
    <w:rsid w:val="00A16662"/>
    <w:rsid w:val="00A27357"/>
    <w:rsid w:val="00A41142"/>
    <w:rsid w:val="00A430CB"/>
    <w:rsid w:val="00A45608"/>
    <w:rsid w:val="00A52C0C"/>
    <w:rsid w:val="00A56C36"/>
    <w:rsid w:val="00A74F20"/>
    <w:rsid w:val="00A8210E"/>
    <w:rsid w:val="00A86176"/>
    <w:rsid w:val="00AE0403"/>
    <w:rsid w:val="00AE2DA1"/>
    <w:rsid w:val="00AE484C"/>
    <w:rsid w:val="00AF2B70"/>
    <w:rsid w:val="00B15A7C"/>
    <w:rsid w:val="00B17439"/>
    <w:rsid w:val="00B25D77"/>
    <w:rsid w:val="00B531B6"/>
    <w:rsid w:val="00B56346"/>
    <w:rsid w:val="00B664FB"/>
    <w:rsid w:val="00B70609"/>
    <w:rsid w:val="00B720A6"/>
    <w:rsid w:val="00B84570"/>
    <w:rsid w:val="00B90848"/>
    <w:rsid w:val="00BB499F"/>
    <w:rsid w:val="00BB5A4E"/>
    <w:rsid w:val="00BC3FD1"/>
    <w:rsid w:val="00BC4A1C"/>
    <w:rsid w:val="00BC6501"/>
    <w:rsid w:val="00BC6746"/>
    <w:rsid w:val="00BE1B43"/>
    <w:rsid w:val="00BE47C1"/>
    <w:rsid w:val="00BE6CF7"/>
    <w:rsid w:val="00BF7917"/>
    <w:rsid w:val="00BF7F6A"/>
    <w:rsid w:val="00C03733"/>
    <w:rsid w:val="00C03EB1"/>
    <w:rsid w:val="00C10405"/>
    <w:rsid w:val="00C124A8"/>
    <w:rsid w:val="00C173E7"/>
    <w:rsid w:val="00C2788C"/>
    <w:rsid w:val="00C51610"/>
    <w:rsid w:val="00C57F13"/>
    <w:rsid w:val="00C93CE1"/>
    <w:rsid w:val="00C94697"/>
    <w:rsid w:val="00C956B9"/>
    <w:rsid w:val="00C97799"/>
    <w:rsid w:val="00CB201F"/>
    <w:rsid w:val="00CB6365"/>
    <w:rsid w:val="00CC0200"/>
    <w:rsid w:val="00CC335D"/>
    <w:rsid w:val="00CE0D64"/>
    <w:rsid w:val="00CE3DAE"/>
    <w:rsid w:val="00D00776"/>
    <w:rsid w:val="00D02904"/>
    <w:rsid w:val="00D13A26"/>
    <w:rsid w:val="00D2613A"/>
    <w:rsid w:val="00D26BBB"/>
    <w:rsid w:val="00D34E72"/>
    <w:rsid w:val="00D42A34"/>
    <w:rsid w:val="00D60FCA"/>
    <w:rsid w:val="00D70D4B"/>
    <w:rsid w:val="00D85486"/>
    <w:rsid w:val="00D91770"/>
    <w:rsid w:val="00DB2F18"/>
    <w:rsid w:val="00DE2648"/>
    <w:rsid w:val="00DE5A27"/>
    <w:rsid w:val="00DF5507"/>
    <w:rsid w:val="00E033B6"/>
    <w:rsid w:val="00E11A2B"/>
    <w:rsid w:val="00E34B87"/>
    <w:rsid w:val="00E35E5D"/>
    <w:rsid w:val="00E36880"/>
    <w:rsid w:val="00E45022"/>
    <w:rsid w:val="00E5379D"/>
    <w:rsid w:val="00E6115D"/>
    <w:rsid w:val="00E62B1F"/>
    <w:rsid w:val="00E648B4"/>
    <w:rsid w:val="00E73BC6"/>
    <w:rsid w:val="00E75CF6"/>
    <w:rsid w:val="00E811A8"/>
    <w:rsid w:val="00E86B40"/>
    <w:rsid w:val="00EA4DB8"/>
    <w:rsid w:val="00EC2AF5"/>
    <w:rsid w:val="00EC2BE4"/>
    <w:rsid w:val="00ED2516"/>
    <w:rsid w:val="00EF45D7"/>
    <w:rsid w:val="00F05840"/>
    <w:rsid w:val="00F22BCF"/>
    <w:rsid w:val="00F37E82"/>
    <w:rsid w:val="00F43C68"/>
    <w:rsid w:val="00F7534C"/>
    <w:rsid w:val="00F87851"/>
    <w:rsid w:val="00FA3842"/>
    <w:rsid w:val="00FA5856"/>
    <w:rsid w:val="00FA5AB5"/>
    <w:rsid w:val="00FA675A"/>
    <w:rsid w:val="00FA7753"/>
    <w:rsid w:val="00FE3338"/>
    <w:rsid w:val="00FE42A3"/>
    <w:rsid w:val="00FE4CFB"/>
    <w:rsid w:val="00FE7756"/>
    <w:rsid w:val="00FE7F02"/>
    <w:rsid w:val="00F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22D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qFormat/>
    <w:rsid w:val="00A416CB"/>
  </w:style>
  <w:style w:type="character" w:customStyle="1" w:styleId="a4">
    <w:name w:val="Верхний колонтитул Знак"/>
    <w:basedOn w:val="a0"/>
    <w:uiPriority w:val="99"/>
    <w:qFormat/>
    <w:rsid w:val="00EF0B39"/>
  </w:style>
  <w:style w:type="character" w:customStyle="1" w:styleId="a5">
    <w:name w:val="Нижний колонтитул Знак"/>
    <w:basedOn w:val="a0"/>
    <w:uiPriority w:val="99"/>
    <w:qFormat/>
    <w:rsid w:val="00EF0B39"/>
  </w:style>
  <w:style w:type="character" w:customStyle="1" w:styleId="-">
    <w:name w:val="Интернет-ссылка"/>
    <w:basedOn w:val="a0"/>
    <w:uiPriority w:val="99"/>
    <w:unhideWhenUsed/>
    <w:rsid w:val="002D5FB1"/>
    <w:rPr>
      <w:color w:val="0000FF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F42B43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uiPriority w:val="99"/>
    <w:semiHidden/>
    <w:unhideWhenUsed/>
    <w:qFormat/>
    <w:rsid w:val="008822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3848"/>
    <w:pPr>
      <w:ind w:left="720"/>
      <w:contextualSpacing/>
    </w:pPr>
  </w:style>
  <w:style w:type="paragraph" w:styleId="af1">
    <w:name w:val="No Spacing"/>
    <w:qFormat/>
    <w:rsid w:val="00627CB5"/>
    <w:rPr>
      <w:rFonts w:eastAsia="Times New Roman" w:cs="Times New Roman"/>
    </w:rPr>
  </w:style>
  <w:style w:type="paragraph" w:customStyle="1" w:styleId="Standard">
    <w:name w:val="Standard"/>
    <w:qFormat/>
    <w:rsid w:val="007F5134"/>
    <w:pPr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f2">
    <w:name w:val="Normal (Web)"/>
    <w:basedOn w:val="Standard"/>
    <w:qFormat/>
    <w:rsid w:val="001E11E3"/>
  </w:style>
  <w:style w:type="paragraph" w:customStyle="1" w:styleId="p21">
    <w:name w:val="p21"/>
    <w:basedOn w:val="a"/>
    <w:qFormat/>
    <w:rsid w:val="00A416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55132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EF0B3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EF0B3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6">
    <w:name w:val="Прижатый влево"/>
    <w:basedOn w:val="a"/>
    <w:next w:val="a"/>
    <w:qFormat/>
    <w:rsid w:val="00F42B4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7">
    <w:name w:val="footnote text"/>
    <w:basedOn w:val="a"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59"/>
    <w:rsid w:val="00BD7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aliases w:val="Надин стиль,Основной текст 1,Нумерованный список !!,Основной текст без отступа,Основной текст без отступа Знак"/>
    <w:basedOn w:val="a"/>
    <w:link w:val="afc"/>
    <w:uiPriority w:val="99"/>
    <w:rsid w:val="000F68A9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aliases w:val="Надин стиль Знак,Основной текст 1 Знак,Нумерованный список !! Знак,Основной текст без отступа Знак1,Основной текст без отступа Знак Знак"/>
    <w:basedOn w:val="a0"/>
    <w:link w:val="afb"/>
    <w:uiPriority w:val="99"/>
    <w:rsid w:val="000F68A9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qFormat/>
    <w:rsid w:val="004C78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7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822D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qFormat/>
    <w:rsid w:val="00A416CB"/>
  </w:style>
  <w:style w:type="character" w:customStyle="1" w:styleId="a4">
    <w:name w:val="Верхний колонтитул Знак"/>
    <w:basedOn w:val="a0"/>
    <w:uiPriority w:val="99"/>
    <w:qFormat/>
    <w:rsid w:val="00EF0B39"/>
  </w:style>
  <w:style w:type="character" w:customStyle="1" w:styleId="a5">
    <w:name w:val="Нижний колонтитул Знак"/>
    <w:basedOn w:val="a0"/>
    <w:uiPriority w:val="99"/>
    <w:qFormat/>
    <w:rsid w:val="00EF0B39"/>
  </w:style>
  <w:style w:type="character" w:customStyle="1" w:styleId="-">
    <w:name w:val="Интернет-ссылка"/>
    <w:basedOn w:val="a0"/>
    <w:uiPriority w:val="99"/>
    <w:unhideWhenUsed/>
    <w:rsid w:val="002D5FB1"/>
    <w:rPr>
      <w:color w:val="0000FF" w:themeColor="hyperlink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F42B43"/>
    <w:rPr>
      <w:vertAlign w:val="superscript"/>
    </w:rPr>
  </w:style>
  <w:style w:type="character" w:customStyle="1" w:styleId="a7">
    <w:name w:val="Символ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uiPriority w:val="99"/>
    <w:semiHidden/>
    <w:unhideWhenUsed/>
    <w:qFormat/>
    <w:rsid w:val="008822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23848"/>
    <w:pPr>
      <w:ind w:left="720"/>
      <w:contextualSpacing/>
    </w:pPr>
  </w:style>
  <w:style w:type="paragraph" w:styleId="af1">
    <w:name w:val="No Spacing"/>
    <w:qFormat/>
    <w:rsid w:val="00627CB5"/>
    <w:rPr>
      <w:rFonts w:eastAsia="Times New Roman" w:cs="Times New Roman"/>
    </w:rPr>
  </w:style>
  <w:style w:type="paragraph" w:customStyle="1" w:styleId="Standard">
    <w:name w:val="Standard"/>
    <w:qFormat/>
    <w:rsid w:val="007F5134"/>
    <w:pPr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f2">
    <w:name w:val="Normal (Web)"/>
    <w:basedOn w:val="Standard"/>
    <w:qFormat/>
    <w:rsid w:val="001E11E3"/>
  </w:style>
  <w:style w:type="paragraph" w:customStyle="1" w:styleId="p21">
    <w:name w:val="p21"/>
    <w:basedOn w:val="a"/>
    <w:qFormat/>
    <w:rsid w:val="00A416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55132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EF0B39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EF0B3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6">
    <w:name w:val="Прижатый влево"/>
    <w:basedOn w:val="a"/>
    <w:next w:val="a"/>
    <w:qFormat/>
    <w:rsid w:val="00F42B4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7">
    <w:name w:val="footnote text"/>
    <w:basedOn w:val="a"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59"/>
    <w:rsid w:val="00BD7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aliases w:val="Надин стиль,Основной текст 1,Нумерованный список !!,Основной текст без отступа,Основной текст без отступа Знак"/>
    <w:basedOn w:val="a"/>
    <w:link w:val="afc"/>
    <w:uiPriority w:val="99"/>
    <w:rsid w:val="000F68A9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aliases w:val="Надин стиль Знак,Основной текст 1 Знак,Нумерованный список !! Знак,Основной текст без отступа Знак1,Основной текст без отступа Знак Знак"/>
    <w:basedOn w:val="a0"/>
    <w:link w:val="afb"/>
    <w:uiPriority w:val="99"/>
    <w:rsid w:val="000F68A9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iPriority w:val="99"/>
    <w:qFormat/>
    <w:rsid w:val="004C78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266175EA1DBA8DAAB9497F0F0FB3C973269B0D51D915BD8891C59F174080425881888E66EA82B0o8v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AD70-53F8-4D1F-94C8-6A30B048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7627</Words>
  <Characters>43478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</cp:lastModifiedBy>
  <cp:revision>2</cp:revision>
  <cp:lastPrinted>2022-06-17T06:03:00Z</cp:lastPrinted>
  <dcterms:created xsi:type="dcterms:W3CDTF">2023-01-12T08:10:00Z</dcterms:created>
  <dcterms:modified xsi:type="dcterms:W3CDTF">2023-01-12T08:10:00Z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