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64" w:rsidRPr="000C7964" w:rsidRDefault="00260E0D" w:rsidP="00260E0D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0C7964" w:rsidRPr="000C7964">
        <w:rPr>
          <w:rFonts w:ascii="Times New Roman" w:hAnsi="Times New Roman" w:cs="Times New Roman"/>
          <w:color w:val="auto"/>
          <w:sz w:val="24"/>
          <w:szCs w:val="24"/>
        </w:rPr>
        <w:t>о результатах экспертно-аналитического мероприятия «</w:t>
      </w:r>
      <w:r w:rsidRPr="00260E0D">
        <w:rPr>
          <w:rFonts w:ascii="Times New Roman" w:hAnsi="Times New Roman" w:cs="Times New Roman"/>
          <w:color w:val="auto"/>
          <w:sz w:val="24"/>
          <w:szCs w:val="24"/>
        </w:rPr>
        <w:t>Мониторинг и анализ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края» за 2021-2022 годы</w:t>
      </w:r>
      <w:r w:rsidR="000C7964" w:rsidRPr="000C796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0C7964" w:rsidRPr="000C7964" w:rsidTr="00356530">
        <w:tc>
          <w:tcPr>
            <w:tcW w:w="3240" w:type="dxa"/>
          </w:tcPr>
          <w:p w:rsidR="000C7964" w:rsidRPr="000C7964" w:rsidRDefault="000C7964" w:rsidP="00260E0D">
            <w:pPr>
              <w:overflowPunct w:val="0"/>
              <w:spacing w:before="24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7964">
              <w:rPr>
                <w:rFonts w:ascii="Times New Roman" w:hAnsi="Times New Roman" w:cs="Times New Roman"/>
                <w:sz w:val="24"/>
                <w:szCs w:val="24"/>
              </w:rPr>
              <w:t>. Грачевка</w:t>
            </w:r>
          </w:p>
        </w:tc>
        <w:tc>
          <w:tcPr>
            <w:tcW w:w="3216" w:type="dxa"/>
          </w:tcPr>
          <w:p w:rsidR="000C7964" w:rsidRPr="000C7964" w:rsidRDefault="000C7964" w:rsidP="00356530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C7964" w:rsidRPr="000C7964" w:rsidRDefault="000C7964" w:rsidP="00260E0D">
            <w:pPr>
              <w:overflowPunct w:val="0"/>
              <w:spacing w:before="240"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C796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</w:tbl>
    <w:p w:rsidR="000C7964" w:rsidRPr="000C7964" w:rsidRDefault="000C7964" w:rsidP="00260E0D">
      <w:pPr>
        <w:spacing w:before="32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 xml:space="preserve">Основание для проведения экспертно-аналитического мероприятия:  </w:t>
      </w:r>
      <w:r w:rsidRPr="000C7964">
        <w:rPr>
          <w:rFonts w:ascii="Times New Roman" w:hAnsi="Times New Roman" w:cs="Times New Roman"/>
          <w:sz w:val="24"/>
          <w:szCs w:val="24"/>
        </w:rPr>
        <w:t>ст. 8 Положения о Контрольно-счетной комиссии Грачевского муниципального округа Ставропольского края, п. 1.7 Плана работы Контрольно-счетной комиссии Грачевского муниципального округа на 2023 год</w:t>
      </w:r>
      <w:r w:rsidRPr="000C7964">
        <w:rPr>
          <w:rFonts w:ascii="Times New Roman" w:hAnsi="Times New Roman" w:cs="Times New Roman"/>
          <w:sz w:val="24"/>
          <w:szCs w:val="24"/>
        </w:rPr>
        <w:t>.</w:t>
      </w:r>
    </w:p>
    <w:p w:rsidR="000C7964" w:rsidRPr="000C7964" w:rsidRDefault="000C7964" w:rsidP="00260E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>Цели экспертно-аналитического мероприятия:</w:t>
      </w:r>
    </w:p>
    <w:p w:rsidR="000C7964" w:rsidRDefault="000C7964" w:rsidP="000C7964">
      <w:pPr>
        <w:pStyle w:val="a0"/>
        <w:rPr>
          <w:sz w:val="24"/>
          <w:szCs w:val="24"/>
        </w:rPr>
      </w:pPr>
      <w:r w:rsidRPr="000C7964">
        <w:rPr>
          <w:sz w:val="24"/>
          <w:szCs w:val="24"/>
        </w:rPr>
        <w:t xml:space="preserve">оценка соответствия муниципальной программы приоритетам социально-экономического развития муниципального округа. Анализ и оценка соответствия целей и показателей реализации </w:t>
      </w:r>
      <w:r w:rsidR="00260E0D" w:rsidRPr="000C7964">
        <w:rPr>
          <w:sz w:val="24"/>
          <w:szCs w:val="24"/>
        </w:rPr>
        <w:t xml:space="preserve">муниципальной </w:t>
      </w:r>
      <w:r w:rsidRPr="000C7964">
        <w:rPr>
          <w:sz w:val="24"/>
          <w:szCs w:val="24"/>
        </w:rPr>
        <w:t>программы приоритетам государственной политики Российской Федерации в сфере культуры</w:t>
      </w:r>
      <w:r>
        <w:rPr>
          <w:sz w:val="24"/>
          <w:szCs w:val="24"/>
        </w:rPr>
        <w:t>;</w:t>
      </w:r>
    </w:p>
    <w:p w:rsidR="000C7964" w:rsidRDefault="000C7964" w:rsidP="000C7964">
      <w:pPr>
        <w:pStyle w:val="a0"/>
        <w:rPr>
          <w:sz w:val="24"/>
          <w:szCs w:val="24"/>
        </w:rPr>
      </w:pPr>
      <w:r w:rsidRPr="000C7964">
        <w:rPr>
          <w:sz w:val="24"/>
          <w:szCs w:val="24"/>
        </w:rPr>
        <w:t xml:space="preserve">анализ достаточности и полноты набора показателей реализации </w:t>
      </w:r>
      <w:r w:rsidR="00260E0D" w:rsidRPr="000C7964">
        <w:rPr>
          <w:sz w:val="24"/>
          <w:szCs w:val="24"/>
        </w:rPr>
        <w:t xml:space="preserve">муниципальной </w:t>
      </w:r>
      <w:r w:rsidRPr="000C7964">
        <w:rPr>
          <w:sz w:val="24"/>
          <w:szCs w:val="24"/>
        </w:rPr>
        <w:t xml:space="preserve">программы с точки </w:t>
      </w:r>
      <w:proofErr w:type="gramStart"/>
      <w:r w:rsidRPr="000C7964">
        <w:rPr>
          <w:sz w:val="24"/>
          <w:szCs w:val="24"/>
        </w:rPr>
        <w:t>зрения возможности оценки степени достижения целей</w:t>
      </w:r>
      <w:proofErr w:type="gramEnd"/>
      <w:r>
        <w:rPr>
          <w:sz w:val="24"/>
          <w:szCs w:val="24"/>
        </w:rPr>
        <w:t>;</w:t>
      </w:r>
    </w:p>
    <w:p w:rsidR="000C7964" w:rsidRPr="000C7964" w:rsidRDefault="000C7964" w:rsidP="000C7964">
      <w:pPr>
        <w:pStyle w:val="a0"/>
        <w:rPr>
          <w:sz w:val="24"/>
          <w:szCs w:val="24"/>
        </w:rPr>
      </w:pPr>
      <w:r w:rsidRPr="000C7964">
        <w:rPr>
          <w:sz w:val="24"/>
          <w:szCs w:val="24"/>
        </w:rPr>
        <w:t xml:space="preserve">анализ и оценка соблюдения требований Порядка разработки, реализации и оценки эффективности муниципальных программ Грачевского муниципального при реализации </w:t>
      </w:r>
      <w:r w:rsidR="00260E0D" w:rsidRPr="000C7964">
        <w:rPr>
          <w:sz w:val="24"/>
          <w:szCs w:val="24"/>
        </w:rPr>
        <w:t xml:space="preserve">муниципальной </w:t>
      </w:r>
      <w:r w:rsidRPr="000C7964">
        <w:rPr>
          <w:sz w:val="24"/>
          <w:szCs w:val="24"/>
        </w:rPr>
        <w:t>программы</w:t>
      </w:r>
      <w:r w:rsidRPr="000C7964">
        <w:rPr>
          <w:sz w:val="24"/>
          <w:szCs w:val="24"/>
        </w:rPr>
        <w:t>.</w:t>
      </w:r>
    </w:p>
    <w:p w:rsidR="000C7964" w:rsidRDefault="000C7964" w:rsidP="00260E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 xml:space="preserve">Предмет экспертно-аналитического мероприятия: </w:t>
      </w:r>
    </w:p>
    <w:p w:rsidR="000C7964" w:rsidRPr="000C7964" w:rsidRDefault="000C7964" w:rsidP="000C7964">
      <w:pPr>
        <w:pStyle w:val="a0"/>
        <w:rPr>
          <w:sz w:val="24"/>
          <w:szCs w:val="24"/>
        </w:rPr>
      </w:pPr>
      <w:r w:rsidRPr="000C7964">
        <w:rPr>
          <w:sz w:val="24"/>
          <w:szCs w:val="24"/>
        </w:rPr>
        <w:t xml:space="preserve">деятельность исполнительных органов муниципальной власти Грачевского муниципального округа Ставропольского края – ответственных исполнителей муниципальной программы «Культура Грачевского муниципального округа Ставропольского края» за 2021-2022 годы» (далее - Муниципальная программа) по разработке и реализации муниципальной программы, а также </w:t>
      </w:r>
      <w:proofErr w:type="gramStart"/>
      <w:r w:rsidRPr="000C7964">
        <w:rPr>
          <w:sz w:val="24"/>
          <w:szCs w:val="24"/>
        </w:rPr>
        <w:t>контроля за</w:t>
      </w:r>
      <w:proofErr w:type="gramEnd"/>
      <w:r w:rsidRPr="000C7964">
        <w:rPr>
          <w:sz w:val="24"/>
          <w:szCs w:val="24"/>
        </w:rPr>
        <w:t xml:space="preserve"> ходом ее реализации;</w:t>
      </w:r>
    </w:p>
    <w:p w:rsidR="000C7964" w:rsidRPr="000C7964" w:rsidRDefault="000C7964" w:rsidP="000C7964">
      <w:pPr>
        <w:pStyle w:val="a0"/>
        <w:rPr>
          <w:sz w:val="24"/>
          <w:szCs w:val="24"/>
        </w:rPr>
      </w:pPr>
      <w:r w:rsidRPr="000C7964">
        <w:rPr>
          <w:sz w:val="24"/>
          <w:szCs w:val="24"/>
        </w:rPr>
        <w:t xml:space="preserve">нормативное правовое регулирование разработки проекта муниципальной программы «Культура Грачевского муниципального округа Ставропольского края» за 2021-2022 годы», подготовки отчетов  о ходе реализации и оценки эффективности, а также </w:t>
      </w:r>
      <w:proofErr w:type="gramStart"/>
      <w:r w:rsidRPr="000C7964">
        <w:rPr>
          <w:sz w:val="24"/>
          <w:szCs w:val="24"/>
        </w:rPr>
        <w:t>контроля за</w:t>
      </w:r>
      <w:proofErr w:type="gramEnd"/>
      <w:r w:rsidRPr="000C7964">
        <w:rPr>
          <w:sz w:val="24"/>
          <w:szCs w:val="24"/>
        </w:rPr>
        <w:t xml:space="preserve"> ходом ее реализации.</w:t>
      </w:r>
    </w:p>
    <w:p w:rsidR="000C7964" w:rsidRPr="000C7964" w:rsidRDefault="000C7964" w:rsidP="00260E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 xml:space="preserve">Объект экспертно-аналитического мероприятия: </w:t>
      </w:r>
      <w:r w:rsidRPr="000C7964">
        <w:rPr>
          <w:rFonts w:ascii="Times New Roman" w:hAnsi="Times New Roman" w:cs="Times New Roman"/>
          <w:sz w:val="24"/>
          <w:szCs w:val="24"/>
        </w:rPr>
        <w:t>управление культуры и туризма администрации Грачевского муниципального округа Ставропольского края, как ответственный исполнитель муниципальной программы</w:t>
      </w:r>
      <w:r w:rsidRPr="000C7964">
        <w:rPr>
          <w:rFonts w:ascii="Times New Roman" w:hAnsi="Times New Roman" w:cs="Times New Roman"/>
          <w:sz w:val="24"/>
          <w:szCs w:val="24"/>
        </w:rPr>
        <w:t>.</w:t>
      </w:r>
    </w:p>
    <w:p w:rsidR="000C7964" w:rsidRPr="000C7964" w:rsidRDefault="000C7964" w:rsidP="00260E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>Проверяемый  период: 202</w:t>
      </w:r>
      <w:r>
        <w:rPr>
          <w:rFonts w:ascii="Times New Roman" w:hAnsi="Times New Roman" w:cs="Times New Roman"/>
          <w:sz w:val="24"/>
          <w:szCs w:val="24"/>
        </w:rPr>
        <w:t>1-2022</w:t>
      </w:r>
      <w:r w:rsidRPr="000C796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7964">
        <w:rPr>
          <w:rFonts w:ascii="Times New Roman" w:hAnsi="Times New Roman" w:cs="Times New Roman"/>
          <w:sz w:val="24"/>
          <w:szCs w:val="24"/>
        </w:rPr>
        <w:t>.</w:t>
      </w:r>
    </w:p>
    <w:p w:rsidR="000C7964" w:rsidRPr="000C7964" w:rsidRDefault="000C7964" w:rsidP="00260E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 xml:space="preserve">Срок  проведения экспертно-аналитического мероприятия: </w:t>
      </w:r>
      <w:r w:rsidRPr="000C7964">
        <w:rPr>
          <w:rFonts w:ascii="Times New Roman" w:hAnsi="Times New Roman" w:cs="Times New Roman"/>
          <w:sz w:val="24"/>
          <w:szCs w:val="24"/>
        </w:rPr>
        <w:t>с 31 июля по 29 августа 2023 года</w:t>
      </w:r>
      <w:r w:rsidRPr="000C7964">
        <w:rPr>
          <w:rFonts w:ascii="Times New Roman" w:hAnsi="Times New Roman" w:cs="Times New Roman"/>
          <w:sz w:val="24"/>
          <w:szCs w:val="24"/>
        </w:rPr>
        <w:t>.</w:t>
      </w:r>
    </w:p>
    <w:p w:rsidR="000C7964" w:rsidRPr="000C7964" w:rsidRDefault="000C7964" w:rsidP="00260E0D">
      <w:pPr>
        <w:spacing w:before="3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7964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установлено следующее: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 программа «Культура Грачевского муниципального округа Ставропольского края» (далее – МП «Культура», Муниципальная программа) утверждена в соответствии с БК РФ, постановлением АГМО от 15.12.2020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края», постановлением АГМО от 15.12.2020 № 24 «Об утверждении перечня муниципальных программ Грачевского муниципального округа Ставропольского края, планируемых к разработке в 2020 году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со сроком реализации с 2021 года по 2026 год. 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Ответственным исполнителем Муниципальной программы определено управление культуры и туризма администрации Грачевского муниципального округа Ставропольского края (далее – Управление культуры).</w:t>
      </w:r>
    </w:p>
    <w:p w:rsidR="000C7964" w:rsidRPr="000C7964" w:rsidRDefault="000C7964" w:rsidP="00260E0D">
      <w:pPr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Согласно Паспорту, а также текстовой части Муниципальной программы основная цель Муниципальной программы – создание условий для реализации конституционных прав граждан в сфере культуры в Грачевском муниципальном округе Ставропольского края.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состав Муниципальной программы входит 3 подпрограммы:</w:t>
      </w:r>
    </w:p>
    <w:p w:rsidR="000C7964" w:rsidRPr="000C7964" w:rsidRDefault="000C7964" w:rsidP="000C7964">
      <w:pPr>
        <w:widowControl w:val="0"/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подпрограмма «Предоставление услуг в сфере культуры на территории Грачевского муниципального округа Ставропольского края»;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подпрограмма «Реализация дополнительных общеобразовательных общеразвивающих программ»;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подпрограмма 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края»».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Сравнительный анализ показателей, установленных в Стратегии социально-экономического развития Грачевского муниципального округа Ставропольского края до 2035 года и Прогнозах социально-экономического развития Грачевского муниципального округа Ставропольского края на период 2021-2024 годов, с показателями, установленными в Муниципальной программе, показал, что при разработке МП «Культура» не в полной мере учтены основные показатели, установленные в Стратегии СЭР и Прогнозе СЭР Грачевского округа.</w:t>
      </w:r>
      <w:proofErr w:type="gramEnd"/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анализа и оценки соответствия целей и показателей реализации МП «Культура» приоритетам государственной политики Российской Федерации в сфере культуры, обозначенным в Указах Президента Российской Федерации, параметрам долгосрочного прогноза социально-экономического развития Российской Федерации на период до 2030 года и иным документам стратегического планирования, установлено, что МП «Культура» в основном соответствует приоритетам государственной политики Российской Федерации в сфере культуры, обозначенным в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Указах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Президента Российской Федерации, параметрам долгосрочного прогноза социально-экономического развития Российской Федерации на период до 2030 года и иным документам стратегического планирования.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Однако в Муниципальной программе отсутствуют основные направления приоритетов государственной политики Российской Федерации в сфере культуры, обозначенные: </w:t>
      </w:r>
    </w:p>
    <w:p w:rsidR="000C7964" w:rsidRPr="000C7964" w:rsidRDefault="000C7964" w:rsidP="000C79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Указе Президента Российской Федерации от 21.07.2020 № 474 «О национальных целях развития Российской Федерации на период до 2030 года», а именно: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увеличение числа посещений культурных мероприятий в три раза по сравнению с показателем 2019 года;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процентов.</w:t>
      </w:r>
    </w:p>
    <w:p w:rsidR="000C7964" w:rsidRPr="000C7964" w:rsidRDefault="000C7964" w:rsidP="000C79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Законе Ставропольского края от 27.12.2019 № 110-кз "О Стратегии социально-экономического развития Ставропольского края до 2035 года", а именно: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показа национальных кинофильмов в кинозалах, расположенных в населенных пунктах с численностью населения до 500 тыс. человек;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поддержка добровольческих движений в сфере сохранения культурного наследия народов Российской Федерации.</w:t>
      </w:r>
    </w:p>
    <w:p w:rsidR="000C7964" w:rsidRPr="000C7964" w:rsidRDefault="000C7964" w:rsidP="000C79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Стратегии государственной культурной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политики на период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2030 года, а именно: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повышение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цивилизации ценностей и норм;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новой модели культурной политики. 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Следует отметить, что в системе показателей Муниципальной программы не предусмотрены целевые показатели, позволяющие оценить достижение целей, задач и приоритетов Стратегии государственной культурной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политики на период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2030 года, а именно: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уровень удовлетворенности граждан Российской Федерации качеством предоставления государственных и муниципальных услуг в сфере культуры;</w:t>
      </w:r>
    </w:p>
    <w:p w:rsidR="000C7964" w:rsidRPr="000C7964" w:rsidRDefault="000C7964" w:rsidP="000C7964">
      <w:pPr>
        <w:widowControl w:val="0"/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доля граждан, положительно оценивающих состояние межнациональных отношений;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анализа достаточности и полноты набора показателей реализации МП «Культура» с точки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зрения возможности оценки степени достижения целей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установлено, что: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Набор показателей решения задач Подпрограммы 1 не в полной мере обеспечивают возможность оценить степень достижения целей указанной подпрограммы. Так, в указанной подпрограмме отсутствуют показатели решения задач, характеризующие: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участие в государственной программе-конкурсе на получение гранта как лучший работник и лучшее учреждение в сельской местности; 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обучение и переподготовку специалистов области культуры в профессиональных ВУЗах и </w:t>
      </w:r>
      <w:proofErr w:type="spell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СУЗах</w:t>
      </w:r>
      <w:proofErr w:type="spell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Ставропольского края и Краснодарского края.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Набор показателей решения задач Подпрограммы 2 обеспечивает возможность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оценки степени достижения целей указанной подпрограммы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 целом отражает результативность реализации мероприятий в области предоставления услуг в сфере реализации дополнительных общеобразовательных общеразвивающих программ.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анализа и оценка соблюдения требований Порядка разработки, реализации и оценки эффективности муниципальных программ Грачевского муниципального при реализации Муниципальной программы установлено, что структура МП «Культура» в основном соответствует требованиям, установленными п. 23 Порядка разработки программ и Методическими указаниями № 23.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Контрольно-счетной комиссией в 2020 году в соответствии с требованиями Порядка разработки программ была проведена экспертиза проекта муниципальной программы «Культура Грачевского муниципального округа Ставропольского края», по результатам которой в АГМО СК направлены предложения (письмо КСК от 29.12.2020 № 01-11/215, Заключение КСК от 29.12.2020 № 01-11/214). 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Проанализировав изменения, внесенные в программу (МП «Культура» в редакциях от 30.12.2020, от 29.12.2021, от 19.08.2022, от 25.11.2022) установлено, что на момент проверки Управлением культуры из 17-ти предложений, направленных КСК ГМО СК учтено полностью – 7, не учтено –10.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Управлением культуры в течение длительного периода не внесены изменения по результатам проведенной КСК ГМО СК экспертизы проекта МП «Культура».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35 Порядка разработки программ установлено, что муниципальные программы приводятся в соответствие с решением о бюджете Грачевского муниципального округа на соответствующий финансовый год и плановый период не позднее трех месяцев со дня вступления его в силу.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 179 БК РФ (в редакциях, действовавших в анализируемом периоде) установлено, что муниципальные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проведенного анализа установлено, что МП «Культура» в первоначальной редакции от 30.12.2020 в целом согласована с Решением № 68</w:t>
      </w:r>
      <w:r w:rsidRPr="000C79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соответствует </w:t>
      </w: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требованиям, установленным ст. 179 БК РФ, пунктом 35 Порядка разработки муниципальных программ.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 же время установлено, что в течение 2021 года в Решение № 68 десять раз вносились изменения в части корректировки финансового обеспечения МП «Культура». При этом в нарушение п. 35 Порядка разработки муниципальных программ приведение Муниципальной программы в соответствие решению о бюджете не производилось.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 ГМО СК на 2022 год утвержден решением Совета ГМО от 21.12.2021 № 151. Изменение в МП «Культура» было произведено 29.12.2021, что соответствует сроку, установленному ст. 179 БК РФ, пунктом 35 Порядка разработки муниципальных программ. Однако объем финансового обеспечения МП «Культура» в редакции на 29.12.2021 (91 614,21 тыс. рублей) не соответствует объему финансового обеспечения на реализацию мероприятий МП «Культура», утвержденному Решением № 151 (156 488,39 тыс. рублей).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Установлено, что в 2022 году в Муниципальную программу дважды вносились изменения: постановления АГМО от 19.08.2022 № 795 и от 25.11.2022 № 1028.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МП «Культура» в редакции на 19.08.2022 (157 359,43 тыс. рублей) приведена в соответствие с Решением о бюджете на 2022 год в редакции от 17.06.2022 № 44 (157 359,43 тыс. рублей), что соответствует требований установленным пунктом 35 Порядка разработки муниципальных программ.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финансового обеспечения МП «Культура» в редакции на 25.11.2022 (164 994,10 тыс. рублей) не соответствует объему финансового обеспечения на реализацию мероприятий МП «Культура», утвержденному Решением о бюджете на 2022 год в редакции от 13.10.2022 № 58 (165 044,10 тыс. рублей).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установлено, что в течение 2022 года в Решение № 151 еще шесть раз вносились изменения в части корректировки финансового обеспечения МП «Культура». При этом в нарушение п. 35 Порядка разработки муниципальных программ приведение Муниципальной программы в соответствие решению о бюджете не производилось.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36 Порядка разработки программ установлено, что в целях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ходом реализации муниципальных программ отдел экономического развития АГМО ежеквартально осуществляет мониторинг хода реализации Программ, результаты которого, в соответствии с п. 55 Методических указаний № 23, размещаются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пунктом 39 Порядка разработки программ ответственным исполнителем Программы совместно с соисполнителями Программы ежегодно подготавливается Годовой отчет о ходе реализации Программы. В соответствии с пунктом 49 Порядка разработки программ годовой отчет подлежит размещению на официальном сайте ответственного исполнителя Программы в информационно-телекоммуникационной сети «Интернет».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пункту 46 Порядка разработки программ на основании годовых отчетов и результатов ежегодно проводимой финансовым управлением АГМО оценки эффективности, реализации Программ отдел экономического развития АГМО ежегодно осуществляет подготовку сводного годового доклада о ходе реализации и об оценке эффективности Программ.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вышеуказанными требованиями мониторинг хода реализации Программ, Годовые отчеты о ходе реализации Программы, а также Сводные годовые доклады размещены в информационно-телекоммуникационной сети «Интернет».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анализа Сводных годовых докладов установлены расхождения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C7964" w:rsidRPr="000C7964" w:rsidRDefault="000C7964" w:rsidP="000C79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Таблицей № 12</w:t>
      </w:r>
      <w:r w:rsidRPr="000C79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footnoteReference w:id="2"/>
      </w: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 «Отчет об использовании средств местного бюджета на реализацию Программ администрации Грачевского муниципального округа </w:t>
      </w: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Ставропольского края» за 2021 год и данными об использовании средств местного бюджета на реализацию Программ, утвержденными решением Совета ГМО</w:t>
      </w:r>
      <w:r w:rsidRPr="000C7964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3"/>
      </w: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 (суммы утвержденных и исполненных бюджетных ассигнований на выполнение мероприятий программы неверно отражены по целевым статьям расходов бюджета, так: 1) по основному мероприятию «Обеспечение деятельности учреждений (оказание</w:t>
      </w:r>
      <w:proofErr w:type="gramEnd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услуг) в сфере культуры и кинематографии» не отражены расходы по целевой статье расходов 02.1.01.20322 «Расходы на проведение ремонта зданий и сооружений муниципальных учреждений и строительный контроль» на суммы: утвержденных бюджетных назначений – 580,79 тыс. рублей, кассового исполнения – 570,04 тыс. рублей, в то же время общая сумма утвержденных и исполненных бюджетных назначений по ЦСР 02.1.01.11010, 02.1.01.20240, 02.1.01.80010 завышена на 580,79 и 570,04</w:t>
      </w:r>
      <w:proofErr w:type="gramEnd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 тыс. рублей соответственно. 2) по основному мероприятию «Обеспечение деятельности учреждений (оказание услуг) в сфере культуры и кинематографии социально-культурными объединениями» не отражены расходы по целевой статье расходов 02.1.02.11010 «Расходы на обеспечение деятельности (оказание услуг) муниципальных учреждений» на суммы: утвержденных бюджетных назначений – 38 396,92 тыс. рублей, кассового исполнения – 37 615,19 тыс. рублей. В то же время общая сумма утвержденных и исполненных бюджетных назначений по ЦСР 02.1.02.20240, 02.1.02.20322, 02.1.02.20770, 02.1.02.80010, 02.1.02.L4670 завышена на 38 396,92 и 37 615,19 тыс. рублей соответственно. </w:t>
      </w:r>
      <w:proofErr w:type="gramStart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По основному мероприятию «Оказание (выполнение) муниципальных услуг муниципальными учреждениями культуры» в ЦСР 02.2.00.11010 и 02.2.00.76890 неверно указан код основного мероприятия - «00» вместо «01»).</w:t>
      </w:r>
      <w:proofErr w:type="gramEnd"/>
    </w:p>
    <w:p w:rsidR="000C7964" w:rsidRPr="000C7964" w:rsidRDefault="000C7964" w:rsidP="000C79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№ 12 за 2022 год и данными об использовании средств местного бюджета на реализацию Программ администрации Грачевского муниципального округа Ставропольского края, утвержденными решением Совета ГМО</w:t>
      </w:r>
      <w:r w:rsidRPr="000C79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footnoteReference w:id="4"/>
      </w: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(только по двум основным мероприятия – «Обеспечение деятельности учреждений (оказание услуг) в сфере культуры и кинематографии» и «Обеспечение функций органа местного самоуправления» - сведения, представленные в Таблице № 12 Сводного годового доклада полностью соответствуют данным, утвержденным Решением № 29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Таблицу № 12 необоснованно включены 11 ЦСР, не включенных в решении о местном бюджете на 2022 год, и в то же время в Таблице № 12 не отражены сведения об утвержденных и исполненных бюджетных назначениях по 6 ЦСР на общую сумму 123 480,94 и 115 805,39 тыс. рублей соответственно, кроме того, по оставшимся ЦСР суммы расходов бюджета отражены с отклонением от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(-)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370,66 до +43 647,13 тыс. рублей).</w:t>
      </w:r>
      <w:proofErr w:type="gramEnd"/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2021 году по МП «Культура» при плановом объеме финансирования 89 004,76 тыс. рублей, исполнение составило 87 956,96 тыс. рублей или 98,82%.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Фактическое освоение средств Основных мероприятий МП «Культура» из 13-ти показателей решения задач подпрограмм обеспечило 100-процентное выполнение 6-ти и перевыполнение 6-ти показателей решения задач и не обеспечило выполнение одного показателя решения задач, в части количества культурно-досуговых мероприятий, проводимых на базе культурно-досуговых учреждений ГМО СК (проведено 2269 мероприятий или 96,47% от планового показателя – 2352 мероприятия).</w:t>
      </w:r>
      <w:proofErr w:type="gramEnd"/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2022 году по МП «Культура» при плановом объеме финансирования 165 485,14 тыс. рублей, исполнение составило 157 572,35 тыс. рублей или 95,22%.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Фактическое освоение средств Основных мероприятий МП «Культура» из 15-ти показателей решения задач подпрограмм обеспечило 100-процентное выполнение 7-ти и перевыполнение 8-ми показателей решения задач.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34 Порядка разработки программ установлены основания внесений изменений в муниципальные программы.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Изменения, внесенные в МП «Культура» в период с 01.01.2021 по 31.12.2022, обусловлены в основном корректировкой объемов финансирования мероприятий, корректировкой наименований мероприятий, а также корректировкой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значений показателей решения задач подпрограмм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Проведенный анализ показал, что основания внесения изменений не противоречат требованиям пункта 34 Порядка разработки программ.</w:t>
      </w:r>
    </w:p>
    <w:p w:rsidR="000C7964" w:rsidRPr="000C7964" w:rsidRDefault="000C7964" w:rsidP="00260E0D">
      <w:pPr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анализа изменений объема средств, предусмотренных на реализацию мероприятий МП «Культура», и оценки их влияния на изменение значений индикаторов достижения целей и показателей решения задач установлено, что общий плановый объем финансирования, предназначенный на реализацию мероприятий Муниципальной программы, в 2021 году изменялся 10 раз в диапазоне от +0,28% до +6,76%.</w:t>
      </w:r>
      <w:proofErr w:type="gramEnd"/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этом, несмотря на рост объема финансирования мероприятий программы, корректировка значений индикаторов достижения целей и показателей решения задач в 2021 году не производились.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Таким образом, ввиду отсутствия корректировки показателей реализации мероприятий программы, в связи с изменением объема средств (увеличение, уменьшение), предусмотренных на реализацию мероприятий Муниципальной программы, можно сделать вывод об отсутствии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увязки изменений объема финансирования Муниципальной программы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2021 году и изменений установленных значений показателей реализации программы.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Общий плановый объем финансирования, предназначенный на реализацию мероприятий Муниципальной программы, в 2022 году изменялся 8 раз в диапазоне от (</w:t>
      </w: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)0,07% до +4,66%.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2022 года в планируемые результаты реализации Муниципальной программы внесено два изменения: включен один новый показатель – «Количество конкурсов и фестивалей всех жанров (призовые места)» и скорректировано два показателя: «Среднемесячная заработная плата работников муниципальных учреждений культуры» и «Количество окружных фестивалей, межмуниципальных туристических маршрутов».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Таким образом, в связи с изменением объема средств (увеличение, уменьшение), предусмотренных на реализацию мероприятий Муниципальной программы, осуществлена корректировка только трех из 15 показателей реализации мероприятий программы. При этом 53% показателей были выполнены в отчетном году с превышением плановых значений. Данные факты свидетельствуют о недостаточной увязке изменений объема финансирования Муниципальной программы и изменений установленных значений показателей реализации программы. </w:t>
      </w:r>
    </w:p>
    <w:p w:rsidR="000C7964" w:rsidRPr="000C7964" w:rsidRDefault="000C7964" w:rsidP="00260E0D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анализа обоснованности установленных планируемых значений показателей реализации Муниципальной программы, установлено, что подпунктом 17 Порядка разработки программ установлено, что вместе с проектом Программы в Контрольно-счетную комиссию ответственным исполнителем Программы представляются дополнительные документы, в </w:t>
      </w:r>
      <w:proofErr w:type="spell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т.ч</w:t>
      </w:r>
      <w:proofErr w:type="spell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. «сведения о формах федерального статистического наблюдения, если значения индикаторов достижения целей Программы (показателей решения задач подпрограмм Программы) определяются на основе данных федерального статистического наблюдения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сведения о методиках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расчета значений индикаторов достижения целей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(показателей решения задач подпрограмм Программы), утвержденных Правительством Российской Федерации или федеральным органом исполнительной власти, Правительством Ставропольского края, администрацией или ответственным исполнителем Программы (соисполнителем Программы)».</w:t>
      </w:r>
    </w:p>
    <w:p w:rsidR="000C7964" w:rsidRPr="000C7964" w:rsidRDefault="000C7964" w:rsidP="00260E0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Следует отметить, что Порядком разработки программ не предусмотрено требование о внесении корректировок в Сведения об источниках и методиках расчета показателей при включении в программу новых индикаторов достижения целей программы и показателей решения задач подпрограмм, в связи с чем, для вновь включенных показателей: «Количество конкурсов и фестивалей всех жанров (призовые места)» и «Количество окружных фестивалей, межмуниципальных туристических маршрутов» в Муниципальной программе отсутствуют сведения об источниках информации и/или о методиках расчета значений </w:t>
      </w: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данных показателей.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в ходе экспертно-аналитического мероприятия установлено, что представленные вместе с проектом Муниципальной программы сведения содержат только источники данных для показателей (без указания порядка расчетов), которые не применимы для расчета плановых значений показателей реализации МП «Культура», а применимы только для получения отдельных фактически достигнутых значений показателей.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 проведенной оценки достоверности расчетов, достигнутых значений показателей реализации мероприятий МП «Культура» по итогам 2021-2022 годов установлено: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отклонение по трем показателям;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одному показателю расчет не осуществлен, поскольку на момент проверки не наступил срок представления отчетности, являющейся источником информации по данному показателю;</w:t>
      </w:r>
    </w:p>
    <w:p w:rsidR="000C7964" w:rsidRPr="000C7964" w:rsidRDefault="000C7964" w:rsidP="000C7964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одному показателю расчет не осуществлен, поскольку в Муниципальной программе отсутствуют сведения об источниках информации (методике расчета);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8-ми показателям расчет не осуществлен, поскольку в форме отчетности отсутствует соответствующий показатель и в Муниципальной программе не указана методика расчета значений данного показателя.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Управлением культуры в ходе экспертно-аналитического мероприятия представлены также Отчеты о деятельности муниципальных учреждений культуры Грачевского муниципального округа Ставропольского края за 2021 год и за 2022 год, направляемые Управлением культуры в министерство культуры Ставропольского края.</w:t>
      </w:r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представленных сведений Контрольной-счетной комиссией произведен расчет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а также доли зданий муниципальных учреждений культуры, которые находятся в аварийном состоянии или требуют капитального ремонта, в общем количестве зданий муниципальных учреждений культуры.</w:t>
      </w:r>
      <w:proofErr w:type="gramEnd"/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ни один из рассчитанных КСК показателей не соответствует значениям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культуры», отраженному в Сводных годовых докладах за 2021 и за 2022 годы, что ставит под сомнение достоверность сведения о значения индикаторов достижения целей программы и показателей решения задач подпрограмм</w:t>
      </w:r>
      <w:proofErr w:type="gramEnd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0C79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представленных в Сводных годовых докладах.</w:t>
      </w:r>
      <w:proofErr w:type="gramEnd"/>
    </w:p>
    <w:p w:rsidR="000C7964" w:rsidRPr="000C7964" w:rsidRDefault="000C7964" w:rsidP="000C7964">
      <w:pPr>
        <w:spacing w:before="240" w:after="120" w:line="240" w:lineRule="auto"/>
        <w:ind w:left="709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Предложения (рекомендации)</w:t>
      </w:r>
      <w:r w:rsidR="00260E0D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>Направить Информацию о результатах проведенного экспертно-аналитического мероприятия Главе Грачевского муниципального округа, в Совет Грачевского муниципального округа.</w:t>
      </w:r>
    </w:p>
    <w:p w:rsidR="000C7964" w:rsidRPr="000C7964" w:rsidRDefault="000C7964" w:rsidP="000C7964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Управлению культуры АГМО: 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Обеспечить полноту отражения в муниципальной программе «Культура Грачевского муниципального округа Ставропольского края», утвержденной постановлением АГМО от 30.12.2020 № 63 (далее – Муниципальная программа, МП «Культура»), документов стратегического планирования Грачевского муниципального округа Ставропольского края, отражающих приоритеты, цели и задачи развития Грачевского муниципального округа в сфере культуры. 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Обеспечить соответствие МП «Культура» основным приоритетным направлениям государственной политики Российской Федерации в сфере культуры, предусмотренным Указами Президента Российской Федерации № 204, № 474 и Стратегией государственной культурной </w:t>
      </w:r>
      <w:proofErr w:type="gramStart"/>
      <w:r w:rsidRPr="000C7964">
        <w:rPr>
          <w:rFonts w:ascii="Times New Roman" w:eastAsiaTheme="minorHAnsi" w:hAnsi="Times New Roman"/>
          <w:sz w:val="24"/>
          <w:lang w:eastAsia="en-US"/>
        </w:rPr>
        <w:t>политики на период</w:t>
      </w:r>
      <w:proofErr w:type="gramEnd"/>
      <w:r w:rsidRPr="000C7964">
        <w:rPr>
          <w:rFonts w:ascii="Times New Roman" w:eastAsiaTheme="minorHAnsi" w:hAnsi="Times New Roman"/>
          <w:sz w:val="24"/>
          <w:lang w:eastAsia="en-US"/>
        </w:rPr>
        <w:t xml:space="preserve"> до 2030 года. </w:t>
      </w:r>
    </w:p>
    <w:p w:rsidR="000C7964" w:rsidRPr="000C7964" w:rsidRDefault="000C7964" w:rsidP="00260E0D">
      <w:pPr>
        <w:widowControl w:val="0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>Обесп</w:t>
      </w:r>
      <w:bookmarkStart w:id="0" w:name="_GoBack"/>
      <w:bookmarkEnd w:id="0"/>
      <w:r w:rsidRPr="000C7964">
        <w:rPr>
          <w:rFonts w:ascii="Times New Roman" w:eastAsiaTheme="minorHAnsi" w:hAnsi="Times New Roman"/>
          <w:sz w:val="24"/>
          <w:lang w:eastAsia="en-US"/>
        </w:rPr>
        <w:t xml:space="preserve">ечить в МП «Культура» наличие целевых показателей, позволяющих </w:t>
      </w:r>
      <w:r w:rsidRPr="000C7964">
        <w:rPr>
          <w:rFonts w:ascii="Times New Roman" w:eastAsiaTheme="minorHAnsi" w:hAnsi="Times New Roman"/>
          <w:sz w:val="24"/>
          <w:lang w:eastAsia="en-US"/>
        </w:rPr>
        <w:lastRenderedPageBreak/>
        <w:t xml:space="preserve">оценить достижение целей, задач и приоритетов Стратегии государственной культурной </w:t>
      </w:r>
      <w:proofErr w:type="gramStart"/>
      <w:r w:rsidRPr="000C7964">
        <w:rPr>
          <w:rFonts w:ascii="Times New Roman" w:eastAsiaTheme="minorHAnsi" w:hAnsi="Times New Roman"/>
          <w:sz w:val="24"/>
          <w:lang w:eastAsia="en-US"/>
        </w:rPr>
        <w:t>политики на период</w:t>
      </w:r>
      <w:proofErr w:type="gramEnd"/>
      <w:r w:rsidRPr="000C7964">
        <w:rPr>
          <w:rFonts w:ascii="Times New Roman" w:eastAsiaTheme="minorHAnsi" w:hAnsi="Times New Roman"/>
          <w:sz w:val="24"/>
          <w:lang w:eastAsia="en-US"/>
        </w:rPr>
        <w:t xml:space="preserve"> до 2030 года. </w:t>
      </w:r>
    </w:p>
    <w:p w:rsidR="000C7964" w:rsidRPr="000C7964" w:rsidRDefault="000C7964" w:rsidP="00260E0D">
      <w:pPr>
        <w:widowControl w:val="0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>Обеспечить соответствие показателей МП «Культура» показателям, установленным Стратегией социально-экономического развития Грачевского муниципального округа Ставропольского края до 2035 года.</w:t>
      </w:r>
    </w:p>
    <w:p w:rsidR="000C7964" w:rsidRPr="000C7964" w:rsidRDefault="000C7964" w:rsidP="00260E0D">
      <w:pPr>
        <w:widowControl w:val="0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Обеспечить согласованность объема финансирования основных мероприятий МП «Культура» с запланированными результатами и показателями. 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>Обеспечить своевременность приведения МП «Культура» в соответствие с решением о бюджете.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Обеспечить своевременное формирование и корректировку по основным мероприятиям подпрограмм МП «Культура». 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Обеспечить планирование значений показателей в соответствии со значениями показателей, установленными в соглашениях, заключенных с региональными органами исполнительной власти. </w:t>
      </w:r>
    </w:p>
    <w:p w:rsidR="000C7964" w:rsidRPr="000C7964" w:rsidRDefault="000C7964" w:rsidP="000C7964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>Администрации Грачевского муниципального округа: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>Обеспечить соответствие сведений, отражаемых в Таблице № 12 «Отчет об использовании средств местного бюджета на реализацию Программ администрации Грачевского муниципального округа Ставропольского края» Сводного годового доклада, данным об исполнении бюджета за соответствующий финансовый год, утверждаемым Советом ГМО.</w:t>
      </w:r>
    </w:p>
    <w:p w:rsidR="000C7964" w:rsidRPr="000C7964" w:rsidRDefault="000C7964" w:rsidP="00260E0D">
      <w:pPr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Рассмотреть вопрос о внесении изменений в Порядок разработки программ в части требований к содержанию муниципальных программ. </w:t>
      </w:r>
      <w:proofErr w:type="gramStart"/>
      <w:r w:rsidRPr="000C7964">
        <w:rPr>
          <w:rFonts w:ascii="Times New Roman" w:eastAsiaTheme="minorHAnsi" w:hAnsi="Times New Roman"/>
          <w:sz w:val="24"/>
          <w:lang w:eastAsia="en-US"/>
        </w:rPr>
        <w:t>А именно, дополнить пункт 23 Порядка разработки программ требованием о наличии в составе муниципальной программы «Методики расчета значений показателей муниципальной программы», а также предусмотреть условия, порядок и сроки внесения изменений в данную Методику, в случае включению в муниципальную программу в ходе ее исполнения новых индикаторов достижения целей муниципальной программы и/или показателях решения задач подпрограмм муниципальной программы.</w:t>
      </w:r>
      <w:proofErr w:type="gramEnd"/>
    </w:p>
    <w:p w:rsidR="000C7964" w:rsidRPr="000C7964" w:rsidRDefault="000C7964" w:rsidP="000C79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0C7964">
        <w:rPr>
          <w:rFonts w:ascii="Times New Roman" w:eastAsiaTheme="minorHAnsi" w:hAnsi="Times New Roman"/>
          <w:sz w:val="24"/>
          <w:lang w:eastAsia="en-US"/>
        </w:rPr>
        <w:t xml:space="preserve">Предусмотреть в Методике расчета значений показателей муниципальной программы, в том числе: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наличие формул (порядков) расчета и источников данных планируемых значений показателей в отношении всех показателей;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наличие формул (порядков) расчета и источников </w:t>
      </w:r>
      <w:proofErr w:type="gramStart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>данных</w:t>
      </w:r>
      <w:proofErr w:type="gramEnd"/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 фактически достигнутых значений показателей в отношении всех показателей; </w:t>
      </w:r>
    </w:p>
    <w:p w:rsidR="000C7964" w:rsidRPr="000C7964" w:rsidRDefault="000C7964" w:rsidP="000C7964">
      <w:pPr>
        <w:tabs>
          <w:tab w:val="num" w:pos="9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наличие источников данных, необходимых для расчета планируемых и фактически достигнутых значений показателей, имеющих утвержденные формы отчетности в соответствии с действующим законодательством и (или) содержащиеся в открытых источниках; </w:t>
      </w:r>
    </w:p>
    <w:p w:rsidR="000C7964" w:rsidRDefault="000C7964" w:rsidP="00260E0D">
      <w:pPr>
        <w:tabs>
          <w:tab w:val="num" w:pos="964"/>
        </w:tabs>
        <w:spacing w:after="0" w:line="240" w:lineRule="auto"/>
        <w:ind w:firstLine="709"/>
        <w:jc w:val="both"/>
      </w:pPr>
      <w:r w:rsidRPr="000C7964">
        <w:rPr>
          <w:rFonts w:ascii="Times New Roman" w:eastAsiaTheme="minorHAnsi" w:hAnsi="Times New Roman"/>
          <w:sz w:val="24"/>
          <w:szCs w:val="24"/>
          <w:lang w:eastAsia="en-US"/>
        </w:rPr>
        <w:t xml:space="preserve">исключение источников данных, не имеющих утвержденных форм отчетности. </w:t>
      </w:r>
    </w:p>
    <w:sectPr w:rsidR="000C7964" w:rsidSect="00260E0D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14" w:rsidRDefault="00190A14" w:rsidP="000C7964">
      <w:pPr>
        <w:spacing w:after="0" w:line="240" w:lineRule="auto"/>
      </w:pPr>
      <w:r>
        <w:separator/>
      </w:r>
    </w:p>
  </w:endnote>
  <w:endnote w:type="continuationSeparator" w:id="0">
    <w:p w:rsidR="00190A14" w:rsidRDefault="00190A14" w:rsidP="000C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14" w:rsidRDefault="00190A14" w:rsidP="000C7964">
      <w:pPr>
        <w:spacing w:after="0" w:line="240" w:lineRule="auto"/>
      </w:pPr>
      <w:r>
        <w:separator/>
      </w:r>
    </w:p>
  </w:footnote>
  <w:footnote w:type="continuationSeparator" w:id="0">
    <w:p w:rsidR="00190A14" w:rsidRDefault="00190A14" w:rsidP="000C7964">
      <w:pPr>
        <w:spacing w:after="0" w:line="240" w:lineRule="auto"/>
      </w:pPr>
      <w:r>
        <w:continuationSeparator/>
      </w:r>
    </w:p>
  </w:footnote>
  <w:footnote w:id="1">
    <w:p w:rsidR="000C7964" w:rsidRDefault="000C7964" w:rsidP="000C7964">
      <w:pPr>
        <w:pStyle w:val="a5"/>
      </w:pPr>
      <w:r>
        <w:rPr>
          <w:rStyle w:val="a7"/>
        </w:rPr>
        <w:footnoteRef/>
      </w:r>
      <w:r>
        <w:t xml:space="preserve"> </w:t>
      </w:r>
      <w:r w:rsidRPr="009D0B31">
        <w:t>Решение Совета Грачевского муниципального округа от 21.12.2020 № 68 «О бюджете Грачевского муниципального округа Ставропольского края на 2021 год и плановый период 2022 и 2023 годов»</w:t>
      </w:r>
    </w:p>
  </w:footnote>
  <w:footnote w:id="2">
    <w:p w:rsidR="000C7964" w:rsidRDefault="000C7964" w:rsidP="000C7964">
      <w:pPr>
        <w:pStyle w:val="a5"/>
      </w:pPr>
      <w:r>
        <w:rPr>
          <w:rStyle w:val="a7"/>
        </w:rPr>
        <w:footnoteRef/>
      </w:r>
      <w:r>
        <w:t xml:space="preserve"> Приложение к </w:t>
      </w:r>
      <w:r w:rsidRPr="00EE5CB1">
        <w:t>Сводно</w:t>
      </w:r>
      <w:r>
        <w:t>му</w:t>
      </w:r>
      <w:r w:rsidRPr="00EE5CB1">
        <w:t xml:space="preserve"> годово</w:t>
      </w:r>
      <w:r>
        <w:t>му</w:t>
      </w:r>
      <w:r w:rsidRPr="00EE5CB1">
        <w:t xml:space="preserve"> доклад</w:t>
      </w:r>
      <w:r>
        <w:t>у</w:t>
      </w:r>
      <w:r w:rsidRPr="00EE5CB1">
        <w:t xml:space="preserve"> о ходе реализации и об оценке эффективности </w:t>
      </w:r>
      <w:r>
        <w:t>муниципальных п</w:t>
      </w:r>
      <w:r w:rsidRPr="00EE5CB1">
        <w:t>рограмм</w:t>
      </w:r>
      <w:r>
        <w:t>, ежегодно подготавливаемому</w:t>
      </w:r>
      <w:r w:rsidRPr="00EE5CB1">
        <w:t xml:space="preserve"> отдел</w:t>
      </w:r>
      <w:r>
        <w:t>ом</w:t>
      </w:r>
      <w:r w:rsidRPr="00EE5CB1">
        <w:t xml:space="preserve"> экономического развития</w:t>
      </w:r>
      <w:r>
        <w:t xml:space="preserve"> администрации Грачевского муниципального округа </w:t>
      </w:r>
    </w:p>
  </w:footnote>
  <w:footnote w:id="3">
    <w:p w:rsidR="000C7964" w:rsidRDefault="000C7964" w:rsidP="000C7964">
      <w:pPr>
        <w:pStyle w:val="a5"/>
      </w:pPr>
      <w:r>
        <w:rPr>
          <w:rStyle w:val="a7"/>
        </w:rPr>
        <w:footnoteRef/>
      </w:r>
      <w:r>
        <w:t xml:space="preserve"> Решение</w:t>
      </w:r>
      <w:r w:rsidRPr="009D0B31">
        <w:t xml:space="preserve"> Совета ГМО от 17.06.2022 г. № 42 «Об исполнении бюджета Грачевского муниципального округа Ставропольского края за 2021 год»</w:t>
      </w:r>
    </w:p>
  </w:footnote>
  <w:footnote w:id="4">
    <w:p w:rsidR="000C7964" w:rsidRDefault="000C7964" w:rsidP="000C7964">
      <w:pPr>
        <w:pStyle w:val="a5"/>
      </w:pPr>
      <w:r>
        <w:rPr>
          <w:rStyle w:val="a7"/>
        </w:rPr>
        <w:footnoteRef/>
      </w:r>
      <w:r>
        <w:t xml:space="preserve"> Решение</w:t>
      </w:r>
      <w:r w:rsidRPr="000B06BB">
        <w:t xml:space="preserve"> Совета ГМО от 22.06.2023 г. № 29 «Об исполнении бюджета Грачевского муниципального округа Ставропольского края за 2022 год»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8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0E0D" w:rsidRPr="00260E0D" w:rsidRDefault="00260E0D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260E0D">
          <w:rPr>
            <w:rFonts w:ascii="Times New Roman" w:hAnsi="Times New Roman" w:cs="Times New Roman"/>
            <w:sz w:val="24"/>
          </w:rPr>
          <w:fldChar w:fldCharType="begin"/>
        </w:r>
        <w:r w:rsidRPr="00260E0D">
          <w:rPr>
            <w:rFonts w:ascii="Times New Roman" w:hAnsi="Times New Roman" w:cs="Times New Roman"/>
            <w:sz w:val="24"/>
          </w:rPr>
          <w:instrText>PAGE   \* MERGEFORMAT</w:instrText>
        </w:r>
        <w:r w:rsidRPr="00260E0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260E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0E0D" w:rsidRDefault="00260E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22A"/>
    <w:multiLevelType w:val="multilevel"/>
    <w:tmpl w:val="C0E49A6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082209"/>
    <w:multiLevelType w:val="multilevel"/>
    <w:tmpl w:val="CA469532"/>
    <w:lvl w:ilvl="0">
      <w:start w:val="1"/>
      <w:numFmt w:val="decimal"/>
      <w:pStyle w:val="a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70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E33862"/>
    <w:multiLevelType w:val="multilevel"/>
    <w:tmpl w:val="CA6E6F4C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E803B7"/>
    <w:multiLevelType w:val="multilevel"/>
    <w:tmpl w:val="0B24CCAA"/>
    <w:lvl w:ilvl="0">
      <w:start w:val="1"/>
      <w:numFmt w:val="decimal"/>
      <w:lvlText w:val="%1)"/>
      <w:lvlJc w:val="left"/>
      <w:pPr>
        <w:tabs>
          <w:tab w:val="num" w:pos="964"/>
        </w:tabs>
        <w:ind w:left="360" w:firstLine="3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02C0EB7"/>
    <w:multiLevelType w:val="multilevel"/>
    <w:tmpl w:val="1C38F1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CA3139"/>
    <w:multiLevelType w:val="hybridMultilevel"/>
    <w:tmpl w:val="8DA0B2D6"/>
    <w:lvl w:ilvl="0" w:tplc="6B10CC14">
      <w:start w:val="1"/>
      <w:numFmt w:val="bullet"/>
      <w:pStyle w:val="a0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4"/>
    <w:rsid w:val="00003DD8"/>
    <w:rsid w:val="000C7964"/>
    <w:rsid w:val="00190A14"/>
    <w:rsid w:val="00260E0D"/>
    <w:rsid w:val="002B260A"/>
    <w:rsid w:val="00313D95"/>
    <w:rsid w:val="00C83E49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7964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0C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C796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a0">
    <w:name w:val="Список_тире"/>
    <w:basedOn w:val="a1"/>
    <w:qFormat/>
    <w:rsid w:val="000C7964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1"/>
    <w:link w:val="a6"/>
    <w:uiPriority w:val="99"/>
    <w:semiHidden/>
    <w:unhideWhenUsed/>
    <w:rsid w:val="000C7964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Текст сноски Знак"/>
    <w:basedOn w:val="a2"/>
    <w:link w:val="a5"/>
    <w:uiPriority w:val="99"/>
    <w:semiHidden/>
    <w:rsid w:val="000C7964"/>
    <w:rPr>
      <w:sz w:val="20"/>
      <w:szCs w:val="20"/>
    </w:rPr>
  </w:style>
  <w:style w:type="character" w:styleId="a7">
    <w:name w:val="footnote reference"/>
    <w:basedOn w:val="a2"/>
    <w:uiPriority w:val="99"/>
    <w:semiHidden/>
    <w:unhideWhenUsed/>
    <w:rsid w:val="000C7964"/>
    <w:rPr>
      <w:vertAlign w:val="superscript"/>
    </w:rPr>
  </w:style>
  <w:style w:type="paragraph" w:customStyle="1" w:styleId="a">
    <w:name w:val="Список_номер"/>
    <w:basedOn w:val="a1"/>
    <w:qFormat/>
    <w:rsid w:val="000C7964"/>
    <w:pPr>
      <w:numPr>
        <w:numId w:val="7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header"/>
    <w:basedOn w:val="a1"/>
    <w:link w:val="a9"/>
    <w:uiPriority w:val="99"/>
    <w:unhideWhenUsed/>
    <w:rsid w:val="0026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260E0D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1"/>
    <w:link w:val="ab"/>
    <w:uiPriority w:val="99"/>
    <w:unhideWhenUsed/>
    <w:rsid w:val="0026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260E0D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7964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0C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C796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a0">
    <w:name w:val="Список_тире"/>
    <w:basedOn w:val="a1"/>
    <w:qFormat/>
    <w:rsid w:val="000C7964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1"/>
    <w:link w:val="a6"/>
    <w:uiPriority w:val="99"/>
    <w:semiHidden/>
    <w:unhideWhenUsed/>
    <w:rsid w:val="000C7964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Текст сноски Знак"/>
    <w:basedOn w:val="a2"/>
    <w:link w:val="a5"/>
    <w:uiPriority w:val="99"/>
    <w:semiHidden/>
    <w:rsid w:val="000C7964"/>
    <w:rPr>
      <w:sz w:val="20"/>
      <w:szCs w:val="20"/>
    </w:rPr>
  </w:style>
  <w:style w:type="character" w:styleId="a7">
    <w:name w:val="footnote reference"/>
    <w:basedOn w:val="a2"/>
    <w:uiPriority w:val="99"/>
    <w:semiHidden/>
    <w:unhideWhenUsed/>
    <w:rsid w:val="000C7964"/>
    <w:rPr>
      <w:vertAlign w:val="superscript"/>
    </w:rPr>
  </w:style>
  <w:style w:type="paragraph" w:customStyle="1" w:styleId="a">
    <w:name w:val="Список_номер"/>
    <w:basedOn w:val="a1"/>
    <w:qFormat/>
    <w:rsid w:val="000C7964"/>
    <w:pPr>
      <w:numPr>
        <w:numId w:val="7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header"/>
    <w:basedOn w:val="a1"/>
    <w:link w:val="a9"/>
    <w:uiPriority w:val="99"/>
    <w:unhideWhenUsed/>
    <w:rsid w:val="0026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260E0D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1"/>
    <w:link w:val="ab"/>
    <w:uiPriority w:val="99"/>
    <w:unhideWhenUsed/>
    <w:rsid w:val="0026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260E0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</cp:revision>
  <dcterms:created xsi:type="dcterms:W3CDTF">2023-09-08T07:57:00Z</dcterms:created>
  <dcterms:modified xsi:type="dcterms:W3CDTF">2023-09-08T08:17:00Z</dcterms:modified>
</cp:coreProperties>
</file>