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C670B0" w:rsidP="00C670B0">
      <w:pPr>
        <w:pStyle w:val="2"/>
        <w:ind w:left="284" w:right="-284"/>
      </w:pPr>
      <w:r>
        <w:t>отчет</w:t>
      </w:r>
    </w:p>
    <w:p w:rsidR="00755BA0" w:rsidRDefault="00FD7008" w:rsidP="00FD7008">
      <w:pPr>
        <w:pStyle w:val="2"/>
        <w:ind w:left="284" w:right="-1"/>
      </w:pPr>
      <w:r>
        <w:t>о результатах экспертно-аналитического мероприятия «</w:t>
      </w:r>
      <w:r w:rsidR="0074688C" w:rsidRPr="0074688C">
        <w:t>Оперативный анализ исполнения бюджета  Грачевского муниципального округа Ставропольского края за I квартал 2021 года</w:t>
      </w:r>
      <w:r w:rsidR="003E6818" w:rsidRPr="003E6818">
        <w:t>»</w:t>
      </w:r>
    </w:p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755BA0" w:rsidP="0074688C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 w:rsidRPr="00ED0F1B">
              <w:rPr>
                <w:rFonts w:ascii="Times New Roman" w:hAnsi="Times New Roman" w:cs="Times New Roman"/>
                <w:sz w:val="28"/>
              </w:rPr>
              <w:t>«</w:t>
            </w:r>
            <w:r w:rsidR="00FD7008">
              <w:rPr>
                <w:rFonts w:ascii="Times New Roman" w:hAnsi="Times New Roman" w:cs="Times New Roman"/>
                <w:sz w:val="28"/>
              </w:rPr>
              <w:t>2</w:t>
            </w:r>
            <w:r w:rsidR="0074688C">
              <w:rPr>
                <w:rFonts w:ascii="Times New Roman" w:hAnsi="Times New Roman" w:cs="Times New Roman"/>
                <w:sz w:val="28"/>
              </w:rPr>
              <w:t>7</w:t>
            </w:r>
            <w:r w:rsidRPr="00ED0F1B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4688C">
              <w:rPr>
                <w:rFonts w:ascii="Times New Roman" w:hAnsi="Times New Roman" w:cs="Times New Roman"/>
                <w:sz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 w:rsidR="0074688C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2021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74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88C">
        <w:rPr>
          <w:rFonts w:ascii="Times New Roman" w:hAnsi="Times New Roman" w:cs="Times New Roman"/>
          <w:sz w:val="28"/>
          <w:szCs w:val="28"/>
        </w:rPr>
        <w:t xml:space="preserve"> квартал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r w:rsidR="0074688C" w:rsidRPr="0074688C">
        <w:rPr>
          <w:rFonts w:ascii="Times New Roman" w:hAnsi="Times New Roman" w:cs="Times New Roman"/>
          <w:sz w:val="28"/>
          <w:szCs w:val="28"/>
        </w:rPr>
        <w:t>I квартал 2021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74688C">
        <w:rPr>
          <w:rFonts w:ascii="Times New Roman" w:hAnsi="Times New Roman" w:cs="Times New Roman"/>
          <w:sz w:val="28"/>
          <w:szCs w:val="28"/>
        </w:rPr>
        <w:t>13 по 27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74688C">
        <w:rPr>
          <w:rFonts w:ascii="Times New Roman" w:hAnsi="Times New Roman" w:cs="Times New Roman"/>
          <w:sz w:val="28"/>
          <w:szCs w:val="28"/>
        </w:rPr>
        <w:t>мая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74688C">
        <w:rPr>
          <w:rFonts w:ascii="Times New Roman" w:hAnsi="Times New Roman" w:cs="Times New Roman"/>
          <w:sz w:val="28"/>
          <w:szCs w:val="28"/>
        </w:rPr>
        <w:t>1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BA1ACF" w:rsidRDefault="0074688C" w:rsidP="00FE0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I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квартал 2021 года представлен администрацией Грачевского муниципального округа в КСК в срок, установленный пунктом 55 Положения о бюджетном процессе в </w:t>
      </w:r>
      <w:proofErr w:type="spellStart"/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A1ACF" w:rsidRDefault="0074688C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льного округа за I квартал 2021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года утвержден распоряжением администрации Грачевского муниципального округа от 13 мая 2021 года    № 66-р</w:t>
      </w:r>
      <w:r w:rsidR="00BA1ACF" w:rsidRPr="00BA1AC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688C" w:rsidRPr="0074688C" w:rsidRDefault="0074688C" w:rsidP="0074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За I квартал 2021 года в бюджет Грачевского муниципального округа поступили доходы в сумме 256 284,71 тыс. рублей или 20,83% к годовым уточненным плановым назначениям, из них: налоговые доходы – 40 356,38 тыс. рублей, неналоговые доходы – 2 751,25 тыс. рублей, безвозмездные поступления – 213 177,08 тыс. рублей.</w:t>
      </w:r>
    </w:p>
    <w:p w:rsidR="0074688C" w:rsidRPr="0074688C" w:rsidRDefault="0074688C" w:rsidP="0074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2020 года фактическое исполнение по доходам за I квартал 2021 года увеличилось на 47 374,71тыс. рублей или на 22,68% (I квартал 2020 года – 208 910,00 тыс. рублей). Положительная динамика обусловлена ростом объема безвозм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ездных поступлений на 43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428,90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25,58%) налог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овых и неналоговых доходов на 3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945,81 тыс. рублей (на 10,08%).</w:t>
      </w:r>
    </w:p>
    <w:p w:rsidR="0074688C" w:rsidRPr="0074688C" w:rsidRDefault="0074688C" w:rsidP="0074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40 356,38 тыс. рублей или 17,52% к годовым плановым назначениям, что выше объема исполнения за аналогичный период 2020 года на 5 398,29 тыс. рублей или на 15,44%.</w:t>
      </w:r>
    </w:p>
    <w:p w:rsidR="00FD7008" w:rsidRPr="00FD7008" w:rsidRDefault="0074688C" w:rsidP="007468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I квартал 2021  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года исполнены в сумме 2 751,25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тыс. рублей, что составляет 6,57% к годовым плановым назначениям. К соответствующему периоду 2020 года объем поступлений  неналоговых доходов составил 34,55%.</w:t>
      </w:r>
    </w:p>
    <w:p w:rsidR="001A2589" w:rsidRPr="001A2589" w:rsidRDefault="0074688C" w:rsidP="00FD7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Безвозмездные поступления по итогам I </w:t>
      </w:r>
      <w:r w:rsidR="004B2D43">
        <w:rPr>
          <w:rFonts w:ascii="Times New Roman" w:eastAsia="Times New Roman" w:hAnsi="Times New Roman" w:cs="Times New Roman"/>
          <w:bCs/>
          <w:sz w:val="28"/>
          <w:szCs w:val="28"/>
        </w:rPr>
        <w:t>квартал 2021 года составили 213 </w:t>
      </w:r>
      <w:r w:rsidRPr="0074688C">
        <w:rPr>
          <w:rFonts w:ascii="Times New Roman" w:eastAsia="Times New Roman" w:hAnsi="Times New Roman" w:cs="Times New Roman"/>
          <w:bCs/>
          <w:sz w:val="28"/>
          <w:szCs w:val="28"/>
        </w:rPr>
        <w:t>177,08 тыс. рублей или 22,24% к годовым плановым назначениям. По сравнению с аналогичным периодом 2020 года общий объем безвозмездных поступлений увеличился на 25,58%, или на 43 428,90 тыс. рублей (I квартал  2020 года – 169 748,18 тыс. рублей)</w:t>
      </w:r>
      <w:r w:rsidR="002E58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5849" w:rsidRDefault="0074688C" w:rsidP="002E5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pacing w:val="-4"/>
          <w:sz w:val="28"/>
          <w:szCs w:val="28"/>
        </w:rPr>
        <w:t>Кассовые расходы бюджета муниципального округа за I квартал 2021 года составили 240 130,19  тыс. рублей или 22,24% к уточненному годовому объему бюджетных назначений, что на 32 395,19 тыс. рублей или 15,59% выше расходов бюджета за аналогичный период 2020 года</w:t>
      </w:r>
      <w:r w:rsidR="002E5849" w:rsidRPr="002E584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1A2589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ab/>
      </w:r>
      <w:r w:rsidR="0074688C" w:rsidRPr="0074688C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В структуре отраслей деятельности наибольший удельный вес от общей суммы расходов бюджета составили расходы по разделам ««Социальная политика» - 44,46%; «Образование» - 35,76%.</w:t>
      </w:r>
      <w:r w:rsidR="001A2589" w:rsidRPr="001A25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:rsidR="0009041A" w:rsidRDefault="003F3A82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="0074688C" w:rsidRPr="0074688C">
        <w:rPr>
          <w:rFonts w:ascii="Times New Roman" w:eastAsia="Times New Roman" w:hAnsi="Times New Roman" w:cs="Times New Roman"/>
          <w:spacing w:val="-4"/>
          <w:sz w:val="28"/>
          <w:szCs w:val="28"/>
        </w:rPr>
        <w:t>За отчетный период исполнение про</w:t>
      </w:r>
      <w:r w:rsidR="004B2D43">
        <w:rPr>
          <w:rFonts w:ascii="Times New Roman" w:eastAsia="Times New Roman" w:hAnsi="Times New Roman" w:cs="Times New Roman"/>
          <w:spacing w:val="-4"/>
          <w:sz w:val="28"/>
          <w:szCs w:val="28"/>
        </w:rPr>
        <w:t>граммных расходов составило 212 </w:t>
      </w:r>
      <w:r w:rsidR="0074688C" w:rsidRPr="0074688C">
        <w:rPr>
          <w:rFonts w:ascii="Times New Roman" w:eastAsia="Times New Roman" w:hAnsi="Times New Roman" w:cs="Times New Roman"/>
          <w:spacing w:val="-4"/>
          <w:sz w:val="28"/>
          <w:szCs w:val="28"/>
        </w:rPr>
        <w:t>971,66 тыс. рублей или  19,48% от уточненных  плановых бюджетных ассигнований</w:t>
      </w:r>
      <w:r w:rsidR="0074688C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 xml:space="preserve">По  семи  программам сложился наиболее низкий показатель исполнения уточненных плановых бюджетных ассигнований: 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lastRenderedPageBreak/>
        <w:t>- МП «Управление финансами Грачевского муниципального  округа Ставропольского края» - 0,00%;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- МП «Безопасный муниципальный округ» - 0,00%;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- МП «Формирование современной городской среды на территории Грачевского муниципального округа Ставропольского края на 2018-2024 годы» - 0,00%;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- 2,36%;</w:t>
      </w:r>
    </w:p>
    <w:p w:rsidR="0074688C" w:rsidRPr="0074688C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- МП «Развитие сельского хозяйства Грачевского муниципального округа Ставропольского края» - 4,40%;</w:t>
      </w:r>
    </w:p>
    <w:p w:rsidR="0009041A" w:rsidRDefault="0074688C" w:rsidP="0074688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 xml:space="preserve">- МП «Развитие муниципальной службы и противодействие коррупции в </w:t>
      </w:r>
      <w:proofErr w:type="spellStart"/>
      <w:r w:rsidRPr="0074688C">
        <w:rPr>
          <w:rFonts w:ascii="Times New Roman" w:eastAsia="Times New Roman" w:hAnsi="Times New Roman" w:cs="Times New Roman"/>
          <w:sz w:val="28"/>
          <w:szCs w:val="28"/>
        </w:rPr>
        <w:t>Грачевском</w:t>
      </w:r>
      <w:proofErr w:type="spellEnd"/>
      <w:r w:rsidRPr="007468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округе» - 6,80%.</w:t>
      </w:r>
    </w:p>
    <w:p w:rsidR="0074688C" w:rsidRPr="0074688C" w:rsidRDefault="0074688C" w:rsidP="00746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Уточненным Решением о бюджете на 2020 год предусмотрены бюджетные ассигнования на реализаци</w:t>
      </w:r>
      <w:r w:rsidR="004B2D43">
        <w:rPr>
          <w:rFonts w:ascii="Times New Roman" w:eastAsia="Times New Roman" w:hAnsi="Times New Roman" w:cs="Times New Roman"/>
          <w:sz w:val="28"/>
          <w:szCs w:val="28"/>
        </w:rPr>
        <w:t>ю 4-х национальных проектов (НП </w:t>
      </w:r>
      <w:r w:rsidRPr="0074688C">
        <w:rPr>
          <w:rFonts w:ascii="Times New Roman" w:eastAsia="Times New Roman" w:hAnsi="Times New Roman" w:cs="Times New Roman"/>
          <w:sz w:val="28"/>
          <w:szCs w:val="28"/>
        </w:rPr>
        <w:t>«Образование»; НП «Жилье и городс</w:t>
      </w:r>
      <w:r w:rsidR="004B2D43">
        <w:rPr>
          <w:rFonts w:ascii="Times New Roman" w:eastAsia="Times New Roman" w:hAnsi="Times New Roman" w:cs="Times New Roman"/>
          <w:sz w:val="28"/>
          <w:szCs w:val="28"/>
        </w:rPr>
        <w:t>кая среда»; НП «Демография»; НП </w:t>
      </w:r>
      <w:r w:rsidRPr="0074688C">
        <w:rPr>
          <w:rFonts w:ascii="Times New Roman" w:eastAsia="Times New Roman" w:hAnsi="Times New Roman" w:cs="Times New Roman"/>
          <w:sz w:val="28"/>
          <w:szCs w:val="28"/>
        </w:rPr>
        <w:t>«Безопасные и качественные автомобильн</w:t>
      </w:r>
      <w:r w:rsidR="004B2D43">
        <w:rPr>
          <w:rFonts w:ascii="Times New Roman" w:eastAsia="Times New Roman" w:hAnsi="Times New Roman" w:cs="Times New Roman"/>
          <w:sz w:val="28"/>
          <w:szCs w:val="28"/>
        </w:rPr>
        <w:t>ые дороги») в объеме 109 194,00 </w:t>
      </w:r>
      <w:r w:rsidRPr="0074688C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74688C" w:rsidRPr="0074688C" w:rsidRDefault="0074688C" w:rsidP="00746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Объем расходов в рамках национальных проектов предусмотрен путем реализации мероприятий четырех региональных проектов. Реализация региональных проектов осуществляется через муниципальные программы округа.</w:t>
      </w:r>
    </w:p>
    <w:p w:rsidR="00AE5B51" w:rsidRPr="00AE5B51" w:rsidRDefault="0074688C" w:rsidP="007468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88C">
        <w:rPr>
          <w:rFonts w:ascii="Times New Roman" w:eastAsia="Times New Roman" w:hAnsi="Times New Roman" w:cs="Times New Roman"/>
          <w:sz w:val="28"/>
          <w:szCs w:val="28"/>
        </w:rPr>
        <w:t>По состоянию на 01.04.2021 года исполнение мероприятий муниципальных программ в рамках реализации региональных проектов составило 17 483,45 тыс. рублей или  16,01% от уточненных  плановых бюджетных ассигнований</w:t>
      </w:r>
      <w:r w:rsidR="00BA1ACF" w:rsidRPr="00BA1A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589" w:rsidRDefault="006E774C" w:rsidP="004B2D43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688C" w:rsidRPr="0074688C">
        <w:rPr>
          <w:rFonts w:ascii="Times New Roman" w:eastAsia="Times New Roman" w:hAnsi="Times New Roman" w:cs="Times New Roman"/>
          <w:sz w:val="28"/>
          <w:szCs w:val="28"/>
        </w:rPr>
        <w:t>Бюджет Грачевского муниципального округа за   I квартал 2021 года исполнен с профицитом в сумме 16 154,52 тыс. рублей, при утвержденном дефиците бюджета в размере 64 406,02 тыс. рублей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BEF" w:rsidRPr="003E5BEF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BEF" w:rsidRPr="003E5BE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Грачевского муниципального </w:t>
      </w:r>
      <w:r w:rsid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3E5BEF" w:rsidRPr="003E5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муниципальные гарантии не предоставлялись.</w:t>
      </w:r>
    </w:p>
    <w:p w:rsidR="001A2589" w:rsidRPr="001A2589" w:rsidRDefault="006C6038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D43" w:rsidRP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01.04.2021 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</w:t>
      </w:r>
      <w:r w:rsid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 года увеличилась на 377,85 </w:t>
      </w:r>
      <w:r w:rsidR="004B2D43" w:rsidRP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и составила 1927,15 человека</w:t>
      </w:r>
      <w:r w:rsidR="001A2589" w:rsidRPr="001A258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.</w:t>
      </w:r>
    </w:p>
    <w:p w:rsidR="001A2589" w:rsidRPr="001A2589" w:rsidRDefault="006E774C" w:rsidP="006E774C">
      <w:pPr>
        <w:tabs>
          <w:tab w:val="left" w:pos="-396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D43" w:rsidRP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Исполненный бюджет Грачевского муниципального округа за I квартал 2021 года по доходам и расходам и источникам финансирования дефицита бюджета сбалансирован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6E774C" w:rsidP="006E774C">
      <w:pPr>
        <w:tabs>
          <w:tab w:val="left" w:pos="-411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B2D43" w:rsidRPr="004B2D43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Грачевского муниципального округа за I квартал 2021 года исполнен в соответствии с требованиями и нормами действующего бюджетного законодательства Российской Федерации</w:t>
      </w:r>
      <w:r w:rsidR="001A2589" w:rsidRPr="001A25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589" w:rsidRDefault="001A2589" w:rsidP="006E774C">
      <w:pPr>
        <w:tabs>
          <w:tab w:val="left" w:pos="-41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504948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E0130"/>
    <w:rsid w:val="009E2B21"/>
    <w:rsid w:val="009F6B36"/>
    <w:rsid w:val="00A546BF"/>
    <w:rsid w:val="00A93CA6"/>
    <w:rsid w:val="00A96A05"/>
    <w:rsid w:val="00AC381B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16</cp:revision>
  <cp:lastPrinted>2019-08-27T08:13:00Z</cp:lastPrinted>
  <dcterms:created xsi:type="dcterms:W3CDTF">2018-12-24T12:06:00Z</dcterms:created>
  <dcterms:modified xsi:type="dcterms:W3CDTF">2022-01-09T09:48:00Z</dcterms:modified>
</cp:coreProperties>
</file>