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437F87" w:rsidP="0041044D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1044D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44D">
              <w:rPr>
                <w:rFonts w:ascii="Times New Roman" w:hAnsi="Times New Roman" w:cs="Times New Roman"/>
                <w:sz w:val="28"/>
              </w:rPr>
              <w:t>августа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41044D">
        <w:rPr>
          <w:rFonts w:ascii="Times New Roman" w:hAnsi="Times New Roman" w:cs="Times New Roman"/>
          <w:sz w:val="28"/>
          <w:szCs w:val="28"/>
        </w:rPr>
        <w:t>12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437F87">
        <w:rPr>
          <w:rFonts w:ascii="Times New Roman" w:hAnsi="Times New Roman" w:cs="Times New Roman"/>
          <w:sz w:val="28"/>
          <w:szCs w:val="28"/>
        </w:rPr>
        <w:t>1</w:t>
      </w:r>
      <w:r w:rsidR="0041044D">
        <w:rPr>
          <w:rFonts w:ascii="Times New Roman" w:hAnsi="Times New Roman" w:cs="Times New Roman"/>
          <w:sz w:val="28"/>
          <w:szCs w:val="28"/>
        </w:rPr>
        <w:t>8</w:t>
      </w:r>
      <w:r w:rsidR="00437F87">
        <w:rPr>
          <w:rFonts w:ascii="Times New Roman" w:hAnsi="Times New Roman" w:cs="Times New Roman"/>
          <w:sz w:val="28"/>
          <w:szCs w:val="28"/>
        </w:rPr>
        <w:t> </w:t>
      </w:r>
      <w:r w:rsidR="0041044D">
        <w:rPr>
          <w:rFonts w:ascii="Times New Roman" w:hAnsi="Times New Roman" w:cs="Times New Roman"/>
          <w:sz w:val="28"/>
          <w:szCs w:val="28"/>
        </w:rPr>
        <w:t>августа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044D" w:rsidRPr="0041044D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</w:t>
      </w:r>
      <w:r w:rsidR="0041044D">
        <w:rPr>
          <w:rFonts w:ascii="Times New Roman" w:hAnsi="Times New Roman" w:cs="Times New Roman"/>
          <w:sz w:val="28"/>
          <w:szCs w:val="28"/>
        </w:rPr>
        <w:t>новый период 2023 и 2024 годов».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44D" w:rsidRPr="0041044D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3, 5, 6, 7, 8, 9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44D" w:rsidRPr="0041044D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с уменьшением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41044D" w:rsidRPr="0041044D">
        <w:rPr>
          <w:rFonts w:ascii="Times New Roman" w:hAnsi="Times New Roman" w:cs="Times New Roman"/>
          <w:sz w:val="28"/>
          <w:szCs w:val="28"/>
        </w:rPr>
        <w:t>Проектом решения на 2022 год планируется увеличение доходной части бюджета на 28 848 345,06 рублей или 1,78%</w:t>
      </w:r>
      <w:r w:rsidR="0041044D">
        <w:rPr>
          <w:rFonts w:ascii="Times New Roman" w:hAnsi="Times New Roman" w:cs="Times New Roman"/>
          <w:sz w:val="28"/>
          <w:szCs w:val="28"/>
        </w:rPr>
        <w:t>, расходной части бюджета на 26 </w:t>
      </w:r>
      <w:bookmarkStart w:id="0" w:name="_GoBack"/>
      <w:bookmarkEnd w:id="0"/>
      <w:r w:rsidR="0041044D" w:rsidRPr="0041044D">
        <w:rPr>
          <w:rFonts w:ascii="Times New Roman" w:hAnsi="Times New Roman" w:cs="Times New Roman"/>
          <w:sz w:val="28"/>
          <w:szCs w:val="28"/>
        </w:rPr>
        <w:t>935 718,12 рублей или на 1,61%. Размер дефицита планируется уменьшить на 1 912 626,94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87" w:rsidRPr="00437F87">
        <w:rPr>
          <w:rFonts w:ascii="Times New Roman" w:hAnsi="Times New Roman" w:cs="Times New Roman"/>
          <w:sz w:val="28"/>
          <w:szCs w:val="28"/>
        </w:rPr>
        <w:t>увеличения объема налоговых и неналоговых доходов</w:t>
      </w:r>
      <w:r w:rsidR="00437F87">
        <w:rPr>
          <w:rFonts w:ascii="Times New Roman" w:hAnsi="Times New Roman" w:cs="Times New Roman"/>
          <w:sz w:val="28"/>
          <w:szCs w:val="28"/>
        </w:rPr>
        <w:t>, а также</w:t>
      </w:r>
      <w:r w:rsidR="00437F87" w:rsidRPr="0043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налоговых и неналоговых доходов,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44D"/>
    <w:rsid w:val="00410F27"/>
    <w:rsid w:val="00437F8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57B5B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82</cp:revision>
  <cp:lastPrinted>2020-01-15T12:51:00Z</cp:lastPrinted>
  <dcterms:created xsi:type="dcterms:W3CDTF">2014-02-20T11:18:00Z</dcterms:created>
  <dcterms:modified xsi:type="dcterms:W3CDTF">2022-12-21T12:20:00Z</dcterms:modified>
</cp:coreProperties>
</file>