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B0" w:rsidRDefault="00C670B0" w:rsidP="00C670B0">
      <w:pPr>
        <w:pStyle w:val="2"/>
        <w:ind w:left="284" w:right="-284"/>
      </w:pPr>
      <w:r>
        <w:t>отчет</w:t>
      </w:r>
    </w:p>
    <w:p w:rsidR="00755BA0" w:rsidRDefault="00FD7008" w:rsidP="00FD7008">
      <w:pPr>
        <w:pStyle w:val="2"/>
        <w:ind w:left="284" w:right="-1"/>
      </w:pPr>
      <w:r>
        <w:t>о результатах экспертно-аналитического мероприятия «</w:t>
      </w:r>
      <w:r w:rsidR="00900C14">
        <w:t xml:space="preserve">экпертиза </w:t>
      </w:r>
      <w:r w:rsidR="00900C14" w:rsidRPr="00900C14">
        <w:t>проект</w:t>
      </w:r>
      <w:r w:rsidR="00900C14">
        <w:t>а</w:t>
      </w:r>
      <w:r w:rsidR="00900C14" w:rsidRPr="00900C14">
        <w:t xml:space="preserve"> решения Совета Грачевского муниципального округа Ставропольского края  «Об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sidR="003E6818" w:rsidRPr="003E6818">
        <w:t>»</w:t>
      </w:r>
    </w:p>
    <w:p w:rsidR="00755BA0" w:rsidRPr="00DB6EAA" w:rsidRDefault="00755BA0" w:rsidP="00755BA0">
      <w:pPr>
        <w:jc w:val="cente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216"/>
        <w:gridCol w:w="3398"/>
      </w:tblGrid>
      <w:tr w:rsidR="00755BA0" w:rsidRPr="00ED0F1B" w:rsidTr="00E377D2">
        <w:trPr>
          <w:trHeight w:val="256"/>
        </w:trPr>
        <w:tc>
          <w:tcPr>
            <w:tcW w:w="3240" w:type="dxa"/>
          </w:tcPr>
          <w:p w:rsidR="00755BA0" w:rsidRPr="00ED0F1B" w:rsidRDefault="00755BA0" w:rsidP="00E377D2">
            <w:pPr>
              <w:overflowPunct w:val="0"/>
              <w:jc w:val="both"/>
              <w:textAlignment w:val="baseline"/>
              <w:rPr>
                <w:rFonts w:ascii="Times New Roman" w:hAnsi="Times New Roman" w:cs="Times New Roman"/>
                <w:sz w:val="28"/>
              </w:rPr>
            </w:pPr>
            <w:proofErr w:type="gramStart"/>
            <w:r w:rsidRPr="00ED0F1B">
              <w:rPr>
                <w:rFonts w:ascii="Times New Roman" w:hAnsi="Times New Roman" w:cs="Times New Roman"/>
                <w:sz w:val="28"/>
              </w:rPr>
              <w:t>с</w:t>
            </w:r>
            <w:proofErr w:type="gramEnd"/>
            <w:r w:rsidRPr="00ED0F1B">
              <w:rPr>
                <w:rFonts w:ascii="Times New Roman" w:hAnsi="Times New Roman" w:cs="Times New Roman"/>
                <w:sz w:val="28"/>
              </w:rPr>
              <w:t>. Грачевка</w:t>
            </w:r>
          </w:p>
        </w:tc>
        <w:tc>
          <w:tcPr>
            <w:tcW w:w="3216" w:type="dxa"/>
          </w:tcPr>
          <w:p w:rsidR="00755BA0" w:rsidRPr="00ED0F1B" w:rsidRDefault="00755BA0" w:rsidP="00E377D2">
            <w:pPr>
              <w:overflowPunct w:val="0"/>
              <w:jc w:val="both"/>
              <w:textAlignment w:val="baseline"/>
              <w:rPr>
                <w:rFonts w:ascii="Times New Roman" w:hAnsi="Times New Roman" w:cs="Times New Roman"/>
                <w:sz w:val="28"/>
              </w:rPr>
            </w:pPr>
          </w:p>
        </w:tc>
        <w:tc>
          <w:tcPr>
            <w:tcW w:w="3398" w:type="dxa"/>
          </w:tcPr>
          <w:p w:rsidR="00755BA0" w:rsidRPr="00ED0F1B" w:rsidRDefault="00900C14" w:rsidP="00900C14">
            <w:pPr>
              <w:overflowPunct w:val="0"/>
              <w:jc w:val="right"/>
              <w:textAlignment w:val="baseline"/>
              <w:rPr>
                <w:rFonts w:ascii="Times New Roman" w:hAnsi="Times New Roman" w:cs="Times New Roman"/>
                <w:sz w:val="28"/>
              </w:rPr>
            </w:pPr>
            <w:r>
              <w:rPr>
                <w:rFonts w:ascii="Times New Roman" w:hAnsi="Times New Roman" w:cs="Times New Roman"/>
                <w:sz w:val="28"/>
              </w:rPr>
              <w:t>22</w:t>
            </w:r>
            <w:r w:rsidR="00755BA0">
              <w:rPr>
                <w:rFonts w:ascii="Times New Roman" w:hAnsi="Times New Roman" w:cs="Times New Roman"/>
                <w:sz w:val="28"/>
              </w:rPr>
              <w:t xml:space="preserve"> </w:t>
            </w:r>
            <w:r>
              <w:rPr>
                <w:rFonts w:ascii="Times New Roman" w:hAnsi="Times New Roman" w:cs="Times New Roman"/>
                <w:sz w:val="28"/>
              </w:rPr>
              <w:t>ноября</w:t>
            </w:r>
            <w:r w:rsidR="00755BA0">
              <w:rPr>
                <w:rFonts w:ascii="Times New Roman" w:hAnsi="Times New Roman" w:cs="Times New Roman"/>
                <w:sz w:val="28"/>
              </w:rPr>
              <w:t xml:space="preserve"> </w:t>
            </w:r>
            <w:r w:rsidR="00755BA0" w:rsidRPr="00ED0F1B">
              <w:rPr>
                <w:rFonts w:ascii="Times New Roman" w:hAnsi="Times New Roman" w:cs="Times New Roman"/>
                <w:sz w:val="28"/>
              </w:rPr>
              <w:t>20</w:t>
            </w:r>
            <w:r w:rsidR="003E6818">
              <w:rPr>
                <w:rFonts w:ascii="Times New Roman" w:hAnsi="Times New Roman" w:cs="Times New Roman"/>
                <w:sz w:val="28"/>
              </w:rPr>
              <w:t>2</w:t>
            </w:r>
            <w:r w:rsidR="00AD24B3">
              <w:rPr>
                <w:rFonts w:ascii="Times New Roman" w:hAnsi="Times New Roman" w:cs="Times New Roman"/>
                <w:sz w:val="28"/>
              </w:rPr>
              <w:t>2</w:t>
            </w:r>
            <w:r w:rsidR="00755BA0">
              <w:rPr>
                <w:rFonts w:ascii="Times New Roman" w:hAnsi="Times New Roman" w:cs="Times New Roman"/>
                <w:sz w:val="28"/>
              </w:rPr>
              <w:t xml:space="preserve"> </w:t>
            </w:r>
            <w:r w:rsidR="00755BA0" w:rsidRPr="00ED0F1B">
              <w:rPr>
                <w:rFonts w:ascii="Times New Roman" w:hAnsi="Times New Roman" w:cs="Times New Roman"/>
                <w:sz w:val="28"/>
              </w:rPr>
              <w:t>года</w:t>
            </w:r>
          </w:p>
        </w:tc>
      </w:tr>
    </w:tbl>
    <w:p w:rsidR="00755BA0" w:rsidRDefault="00755BA0" w:rsidP="00755BA0">
      <w:pPr>
        <w:spacing w:after="0" w:line="240" w:lineRule="auto"/>
        <w:ind w:right="-1" w:firstLine="708"/>
        <w:jc w:val="both"/>
        <w:rPr>
          <w:rFonts w:ascii="Times New Roman" w:hAnsi="Times New Roman" w:cs="Times New Roman"/>
          <w:sz w:val="28"/>
          <w:szCs w:val="28"/>
        </w:rPr>
      </w:pPr>
    </w:p>
    <w:p w:rsidR="003E6818" w:rsidRDefault="00755BA0" w:rsidP="003E6818">
      <w:pPr>
        <w:spacing w:after="0" w:line="240" w:lineRule="auto"/>
        <w:ind w:right="-1" w:firstLine="708"/>
        <w:jc w:val="both"/>
        <w:rPr>
          <w:rFonts w:ascii="Times New Roman" w:hAnsi="Times New Roman" w:cs="Times New Roman"/>
          <w:sz w:val="28"/>
          <w:szCs w:val="28"/>
        </w:rPr>
      </w:pPr>
      <w:proofErr w:type="gramStart"/>
      <w:r w:rsidRPr="002943B6">
        <w:rPr>
          <w:rFonts w:ascii="Times New Roman" w:hAnsi="Times New Roman" w:cs="Times New Roman"/>
          <w:sz w:val="28"/>
          <w:szCs w:val="28"/>
        </w:rPr>
        <w:t>Основание для проведения экспертно-аналитического мероприятия</w:t>
      </w:r>
      <w:r w:rsidR="0078457E">
        <w:rPr>
          <w:rFonts w:ascii="Times New Roman" w:hAnsi="Times New Roman" w:cs="Times New Roman"/>
          <w:sz w:val="28"/>
          <w:szCs w:val="28"/>
        </w:rPr>
        <w:t xml:space="preserve">: </w:t>
      </w:r>
      <w:r w:rsidR="0074688C" w:rsidRPr="0074688C">
        <w:rPr>
          <w:rFonts w:ascii="Times New Roman" w:hAnsi="Times New Roman" w:cs="Times New Roman"/>
          <w:sz w:val="28"/>
          <w:szCs w:val="28"/>
        </w:rPr>
        <w:t>п</w:t>
      </w:r>
      <w:r w:rsidR="00900C14">
        <w:rPr>
          <w:rFonts w:ascii="Times New Roman" w:hAnsi="Times New Roman" w:cs="Times New Roman"/>
          <w:sz w:val="28"/>
          <w:szCs w:val="28"/>
        </w:rPr>
        <w:t>ункт</w:t>
      </w:r>
      <w:r w:rsidR="0074688C" w:rsidRPr="0074688C">
        <w:rPr>
          <w:rFonts w:ascii="Times New Roman" w:hAnsi="Times New Roman" w:cs="Times New Roman"/>
          <w:sz w:val="28"/>
          <w:szCs w:val="28"/>
        </w:rPr>
        <w:t xml:space="preserve"> </w:t>
      </w:r>
      <w:r w:rsidR="00900C14" w:rsidRPr="00900C14">
        <w:rPr>
          <w:rFonts w:ascii="Times New Roman" w:hAnsi="Times New Roman" w:cs="Times New Roman"/>
          <w:sz w:val="28"/>
          <w:szCs w:val="28"/>
        </w:rPr>
        <w:t xml:space="preserve">7 части 1 статьи 8 </w:t>
      </w:r>
      <w:r w:rsidR="0074688C" w:rsidRPr="0074688C">
        <w:rPr>
          <w:rFonts w:ascii="Times New Roman" w:hAnsi="Times New Roman" w:cs="Times New Roman"/>
          <w:sz w:val="28"/>
          <w:szCs w:val="28"/>
        </w:rPr>
        <w:t xml:space="preserve"> Положения о бюджетном процессе в </w:t>
      </w:r>
      <w:proofErr w:type="spellStart"/>
      <w:r w:rsidR="0074688C" w:rsidRPr="0074688C">
        <w:rPr>
          <w:rFonts w:ascii="Times New Roman" w:hAnsi="Times New Roman" w:cs="Times New Roman"/>
          <w:sz w:val="28"/>
          <w:szCs w:val="28"/>
        </w:rPr>
        <w:t>Грачевском</w:t>
      </w:r>
      <w:proofErr w:type="spellEnd"/>
      <w:r w:rsidR="0074688C" w:rsidRPr="0074688C">
        <w:rPr>
          <w:rFonts w:ascii="Times New Roman" w:hAnsi="Times New Roman" w:cs="Times New Roman"/>
          <w:sz w:val="28"/>
          <w:szCs w:val="28"/>
        </w:rPr>
        <w:t xml:space="preserve"> муниципальном округе Ставропольского края, ст. 8 Положения о Контрольно-счетной комиссии Грачевского муниципального округа Ставропольского края, утвержденного решением Совета Грачевского муниципального округа Ставропольского края от 07.12.2020 № 64</w:t>
      </w:r>
      <w:r w:rsidR="0074688C">
        <w:rPr>
          <w:rFonts w:ascii="Times New Roman" w:hAnsi="Times New Roman" w:cs="Times New Roman"/>
          <w:sz w:val="28"/>
          <w:szCs w:val="28"/>
        </w:rPr>
        <w:t>, п. 1.</w:t>
      </w:r>
      <w:r w:rsidR="00900C14">
        <w:rPr>
          <w:rFonts w:ascii="Times New Roman" w:hAnsi="Times New Roman" w:cs="Times New Roman"/>
          <w:sz w:val="28"/>
          <w:szCs w:val="28"/>
        </w:rPr>
        <w:t>1</w:t>
      </w:r>
      <w:r w:rsidR="00FD7008" w:rsidRPr="00FD7008">
        <w:rPr>
          <w:rFonts w:ascii="Times New Roman" w:hAnsi="Times New Roman" w:cs="Times New Roman"/>
          <w:sz w:val="28"/>
          <w:szCs w:val="28"/>
        </w:rPr>
        <w:t xml:space="preserve"> Плана работы Контрольно-счетной комиссии Грачевского муниципального </w:t>
      </w:r>
      <w:r w:rsidR="004B2D43">
        <w:rPr>
          <w:rFonts w:ascii="Times New Roman" w:hAnsi="Times New Roman" w:cs="Times New Roman"/>
          <w:sz w:val="28"/>
          <w:szCs w:val="28"/>
        </w:rPr>
        <w:t>округа</w:t>
      </w:r>
      <w:r w:rsidR="00FD7008" w:rsidRPr="00FD7008">
        <w:rPr>
          <w:rFonts w:ascii="Times New Roman" w:hAnsi="Times New Roman" w:cs="Times New Roman"/>
          <w:sz w:val="28"/>
          <w:szCs w:val="28"/>
        </w:rPr>
        <w:t xml:space="preserve"> Ст</w:t>
      </w:r>
      <w:r w:rsidR="0074688C">
        <w:rPr>
          <w:rFonts w:ascii="Times New Roman" w:hAnsi="Times New Roman" w:cs="Times New Roman"/>
          <w:sz w:val="28"/>
          <w:szCs w:val="28"/>
        </w:rPr>
        <w:t>авропольского края на 202</w:t>
      </w:r>
      <w:r w:rsidR="00AD24B3">
        <w:rPr>
          <w:rFonts w:ascii="Times New Roman" w:hAnsi="Times New Roman" w:cs="Times New Roman"/>
          <w:sz w:val="28"/>
          <w:szCs w:val="28"/>
        </w:rPr>
        <w:t>2</w:t>
      </w:r>
      <w:r w:rsidR="0074688C">
        <w:rPr>
          <w:rFonts w:ascii="Times New Roman" w:hAnsi="Times New Roman" w:cs="Times New Roman"/>
          <w:sz w:val="28"/>
          <w:szCs w:val="28"/>
        </w:rPr>
        <w:t xml:space="preserve"> год.</w:t>
      </w:r>
      <w:proofErr w:type="gramEnd"/>
    </w:p>
    <w:p w:rsidR="00755BA0" w:rsidRPr="00ED0F1B" w:rsidRDefault="00755BA0" w:rsidP="003E6818">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Цели экспертно-аналитического мероприятия:</w:t>
      </w:r>
    </w:p>
    <w:p w:rsidR="000A2240" w:rsidRPr="000A2240" w:rsidRDefault="00900C14" w:rsidP="000A2240">
      <w:pPr>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проведение экспертизы проекта решения на предмет соответствия требованиям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000A2240" w:rsidRPr="000A2240">
        <w:rPr>
          <w:rFonts w:ascii="Times New Roman" w:eastAsia="Times New Roman" w:hAnsi="Times New Roman" w:cs="Times New Roman"/>
          <w:sz w:val="28"/>
          <w:szCs w:val="28"/>
        </w:rPr>
        <w:t>.</w:t>
      </w:r>
    </w:p>
    <w:p w:rsidR="00755BA0" w:rsidRPr="00ED0F1B" w:rsidRDefault="00755BA0" w:rsidP="00C670B0">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Предмет экспертно-аналитического мероприятия: </w:t>
      </w:r>
      <w:r w:rsidR="00900C14" w:rsidRPr="00900C14">
        <w:rPr>
          <w:rFonts w:ascii="Times New Roman" w:hAnsi="Times New Roman" w:cs="Times New Roman"/>
          <w:sz w:val="28"/>
          <w:szCs w:val="28"/>
        </w:rPr>
        <w:t xml:space="preserve">проект решения Совета Грачевского муниципального округа Ставропольского края </w:t>
      </w:r>
      <w:r w:rsidR="00900C14">
        <w:rPr>
          <w:rFonts w:ascii="Times New Roman" w:hAnsi="Times New Roman" w:cs="Times New Roman"/>
          <w:sz w:val="28"/>
          <w:szCs w:val="28"/>
        </w:rPr>
        <w:t>«</w:t>
      </w:r>
      <w:r w:rsidR="00900C14" w:rsidRPr="00900C14">
        <w:rPr>
          <w:rFonts w:ascii="Times New Roman" w:hAnsi="Times New Roman" w:cs="Times New Roman"/>
          <w:sz w:val="28"/>
          <w:szCs w:val="28"/>
        </w:rPr>
        <w:t>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w:t>
      </w:r>
      <w:r w:rsidR="00900C14">
        <w:rPr>
          <w:rFonts w:ascii="Times New Roman" w:hAnsi="Times New Roman" w:cs="Times New Roman"/>
          <w:sz w:val="28"/>
          <w:szCs w:val="28"/>
        </w:rPr>
        <w:t>»</w:t>
      </w:r>
      <w:r w:rsidR="000A2240" w:rsidRPr="000A2240">
        <w:rPr>
          <w:rFonts w:ascii="Times New Roman" w:hAnsi="Times New Roman" w:cs="Times New Roman"/>
          <w:sz w:val="28"/>
          <w:szCs w:val="28"/>
        </w:rPr>
        <w:t>.</w:t>
      </w:r>
      <w:r w:rsidR="000A2240">
        <w:rPr>
          <w:rFonts w:ascii="Times New Roman" w:hAnsi="Times New Roman" w:cs="Times New Roman"/>
          <w:sz w:val="28"/>
          <w:szCs w:val="28"/>
        </w:rPr>
        <w:t xml:space="preserve">                 </w:t>
      </w:r>
    </w:p>
    <w:p w:rsidR="00755BA0" w:rsidRPr="00ED0F1B" w:rsidRDefault="00755BA0" w:rsidP="00755BA0">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Объект экспертно-аналитического мероприятия: </w:t>
      </w:r>
      <w:r w:rsidR="00900C14" w:rsidRPr="00900C14">
        <w:rPr>
          <w:rFonts w:ascii="Times New Roman" w:hAnsi="Times New Roman" w:cs="Times New Roman"/>
          <w:sz w:val="28"/>
          <w:szCs w:val="28"/>
        </w:rPr>
        <w:t xml:space="preserve">администрация Грачевского муниципального </w:t>
      </w:r>
      <w:r w:rsidR="00900C14">
        <w:rPr>
          <w:rFonts w:ascii="Times New Roman" w:hAnsi="Times New Roman" w:cs="Times New Roman"/>
          <w:sz w:val="28"/>
          <w:szCs w:val="28"/>
        </w:rPr>
        <w:t>округа</w:t>
      </w:r>
      <w:r w:rsidR="00900C14" w:rsidRPr="00900C14">
        <w:rPr>
          <w:rFonts w:ascii="Times New Roman" w:hAnsi="Times New Roman" w:cs="Times New Roman"/>
          <w:sz w:val="28"/>
          <w:szCs w:val="28"/>
        </w:rPr>
        <w:t xml:space="preserve"> Ставропольского края; финансовое  управление администрации Грачевского муниципального </w:t>
      </w:r>
      <w:r w:rsidR="00900C14">
        <w:rPr>
          <w:rFonts w:ascii="Times New Roman" w:hAnsi="Times New Roman" w:cs="Times New Roman"/>
          <w:sz w:val="28"/>
          <w:szCs w:val="28"/>
        </w:rPr>
        <w:t>округа</w:t>
      </w:r>
      <w:r w:rsidR="00900C14" w:rsidRPr="00900C14">
        <w:rPr>
          <w:rFonts w:ascii="Times New Roman" w:hAnsi="Times New Roman" w:cs="Times New Roman"/>
          <w:sz w:val="28"/>
          <w:szCs w:val="28"/>
        </w:rPr>
        <w:t xml:space="preserve"> Ставропольского края</w:t>
      </w:r>
      <w:r w:rsidR="00C670B0">
        <w:rPr>
          <w:rFonts w:ascii="Times New Roman" w:hAnsi="Times New Roman" w:cs="Times New Roman"/>
          <w:sz w:val="28"/>
          <w:szCs w:val="28"/>
        </w:rPr>
        <w:t>.</w:t>
      </w:r>
    </w:p>
    <w:p w:rsidR="000A2240" w:rsidRDefault="00755BA0" w:rsidP="00755BA0">
      <w:pPr>
        <w:spacing w:after="0" w:line="240" w:lineRule="auto"/>
        <w:ind w:right="-1" w:firstLine="708"/>
        <w:jc w:val="both"/>
        <w:rPr>
          <w:rFonts w:ascii="Times New Roman" w:hAnsi="Times New Roman" w:cs="Times New Roman"/>
          <w:sz w:val="28"/>
          <w:szCs w:val="28"/>
        </w:rPr>
      </w:pPr>
      <w:r w:rsidRPr="00ED0F1B">
        <w:rPr>
          <w:rFonts w:ascii="Times New Roman" w:hAnsi="Times New Roman" w:cs="Times New Roman"/>
          <w:sz w:val="28"/>
          <w:szCs w:val="28"/>
        </w:rPr>
        <w:t xml:space="preserve">Проверяемый  период: </w:t>
      </w:r>
      <w:r w:rsidR="0074688C" w:rsidRPr="0074688C">
        <w:rPr>
          <w:rFonts w:ascii="Times New Roman" w:hAnsi="Times New Roman" w:cs="Times New Roman"/>
          <w:sz w:val="28"/>
          <w:szCs w:val="28"/>
        </w:rPr>
        <w:t>202</w:t>
      </w:r>
      <w:r w:rsidR="00AD24B3">
        <w:rPr>
          <w:rFonts w:ascii="Times New Roman" w:hAnsi="Times New Roman" w:cs="Times New Roman"/>
          <w:sz w:val="28"/>
          <w:szCs w:val="28"/>
        </w:rPr>
        <w:t>2</w:t>
      </w:r>
      <w:r w:rsidR="0074688C" w:rsidRPr="0074688C">
        <w:rPr>
          <w:rFonts w:ascii="Times New Roman" w:hAnsi="Times New Roman" w:cs="Times New Roman"/>
          <w:sz w:val="28"/>
          <w:szCs w:val="28"/>
        </w:rPr>
        <w:t xml:space="preserve"> года</w:t>
      </w:r>
      <w:r w:rsidR="000A2240" w:rsidRPr="000A2240">
        <w:rPr>
          <w:rFonts w:ascii="Times New Roman" w:hAnsi="Times New Roman" w:cs="Times New Roman"/>
          <w:sz w:val="28"/>
          <w:szCs w:val="28"/>
        </w:rPr>
        <w:t>.</w:t>
      </w:r>
    </w:p>
    <w:p w:rsidR="00C670B0" w:rsidRDefault="00755BA0" w:rsidP="000A2240">
      <w:pPr>
        <w:spacing w:after="0" w:line="240" w:lineRule="auto"/>
        <w:ind w:right="-1" w:firstLine="708"/>
        <w:jc w:val="both"/>
        <w:rPr>
          <w:sz w:val="28"/>
          <w:szCs w:val="28"/>
        </w:rPr>
      </w:pPr>
      <w:r w:rsidRPr="00ED0F1B">
        <w:rPr>
          <w:rFonts w:ascii="Times New Roman" w:hAnsi="Times New Roman" w:cs="Times New Roman"/>
          <w:sz w:val="28"/>
          <w:szCs w:val="28"/>
        </w:rPr>
        <w:t xml:space="preserve">Срок  проведения экспертно-аналитического мероприятия: </w:t>
      </w:r>
      <w:r w:rsidR="00FD7008">
        <w:rPr>
          <w:rFonts w:ascii="Times New Roman" w:hAnsi="Times New Roman" w:cs="Times New Roman"/>
          <w:sz w:val="28"/>
          <w:szCs w:val="28"/>
        </w:rPr>
        <w:t xml:space="preserve">с </w:t>
      </w:r>
      <w:r w:rsidR="00AD24B3">
        <w:rPr>
          <w:rFonts w:ascii="Times New Roman" w:hAnsi="Times New Roman" w:cs="Times New Roman"/>
          <w:sz w:val="28"/>
          <w:szCs w:val="28"/>
        </w:rPr>
        <w:t>1</w:t>
      </w:r>
      <w:r w:rsidR="00900C14">
        <w:rPr>
          <w:rFonts w:ascii="Times New Roman" w:hAnsi="Times New Roman" w:cs="Times New Roman"/>
          <w:sz w:val="28"/>
          <w:szCs w:val="28"/>
        </w:rPr>
        <w:t>4</w:t>
      </w:r>
      <w:r w:rsidR="0074688C">
        <w:rPr>
          <w:rFonts w:ascii="Times New Roman" w:hAnsi="Times New Roman" w:cs="Times New Roman"/>
          <w:sz w:val="28"/>
          <w:szCs w:val="28"/>
        </w:rPr>
        <w:t xml:space="preserve"> по </w:t>
      </w:r>
      <w:r w:rsidR="00900C14">
        <w:rPr>
          <w:rFonts w:ascii="Times New Roman" w:hAnsi="Times New Roman" w:cs="Times New Roman"/>
          <w:sz w:val="28"/>
          <w:szCs w:val="28"/>
        </w:rPr>
        <w:t>22</w:t>
      </w:r>
      <w:r w:rsidR="00FD7008">
        <w:rPr>
          <w:rFonts w:ascii="Times New Roman" w:hAnsi="Times New Roman" w:cs="Times New Roman"/>
          <w:sz w:val="28"/>
          <w:szCs w:val="28"/>
        </w:rPr>
        <w:t> </w:t>
      </w:r>
      <w:r w:rsidR="00900C14">
        <w:rPr>
          <w:rFonts w:ascii="Times New Roman" w:hAnsi="Times New Roman" w:cs="Times New Roman"/>
          <w:sz w:val="28"/>
          <w:szCs w:val="28"/>
        </w:rPr>
        <w:t>ноября</w:t>
      </w:r>
      <w:r w:rsidR="00FD7008" w:rsidRPr="00FD7008">
        <w:rPr>
          <w:rFonts w:ascii="Times New Roman" w:hAnsi="Times New Roman" w:cs="Times New Roman"/>
          <w:sz w:val="28"/>
          <w:szCs w:val="28"/>
        </w:rPr>
        <w:t xml:space="preserve"> 202</w:t>
      </w:r>
      <w:r w:rsidR="00AD24B3">
        <w:rPr>
          <w:rFonts w:ascii="Times New Roman" w:hAnsi="Times New Roman" w:cs="Times New Roman"/>
          <w:sz w:val="28"/>
          <w:szCs w:val="28"/>
        </w:rPr>
        <w:t>2</w:t>
      </w:r>
      <w:r w:rsidR="00FD7008" w:rsidRPr="00FD7008">
        <w:rPr>
          <w:rFonts w:ascii="Times New Roman" w:hAnsi="Times New Roman" w:cs="Times New Roman"/>
          <w:sz w:val="28"/>
          <w:szCs w:val="28"/>
        </w:rPr>
        <w:t xml:space="preserve"> года</w:t>
      </w:r>
      <w:r w:rsidR="000A2240" w:rsidRPr="000A2240">
        <w:rPr>
          <w:rFonts w:ascii="Times New Roman" w:hAnsi="Times New Roman" w:cs="Times New Roman"/>
          <w:sz w:val="28"/>
          <w:szCs w:val="28"/>
        </w:rPr>
        <w:t>.</w:t>
      </w:r>
    </w:p>
    <w:p w:rsidR="00900C14" w:rsidRDefault="00900C14" w:rsidP="00C670B0">
      <w:pPr>
        <w:pStyle w:val="a8"/>
        <w:spacing w:before="0" w:beforeAutospacing="0" w:after="0" w:afterAutospacing="0"/>
        <w:ind w:firstLine="708"/>
        <w:jc w:val="both"/>
        <w:rPr>
          <w:sz w:val="28"/>
          <w:szCs w:val="28"/>
        </w:rPr>
      </w:pP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По результатам экспертно-аналитического мероприятия установлено следующее:</w:t>
      </w: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Проект решения представлен Советом Грачевского муниципального округа Ставропольского края</w:t>
      </w:r>
      <w:r>
        <w:rPr>
          <w:rFonts w:ascii="Times New Roman" w:eastAsia="Times New Roman" w:hAnsi="Times New Roman" w:cs="Times New Roman"/>
          <w:sz w:val="28"/>
          <w:szCs w:val="28"/>
        </w:rPr>
        <w:t xml:space="preserve"> </w:t>
      </w:r>
      <w:r w:rsidRPr="00900C14">
        <w:rPr>
          <w:rFonts w:ascii="Times New Roman" w:eastAsia="Times New Roman" w:hAnsi="Times New Roman" w:cs="Times New Roman"/>
          <w:sz w:val="28"/>
          <w:szCs w:val="28"/>
        </w:rPr>
        <w:t>(далее по тексту  – Совет Грачевского муниципального округа) в Контрольно</w:t>
      </w:r>
      <w:r>
        <w:rPr>
          <w:rFonts w:ascii="Times New Roman" w:eastAsia="Times New Roman" w:hAnsi="Times New Roman" w:cs="Times New Roman"/>
          <w:sz w:val="28"/>
          <w:szCs w:val="28"/>
        </w:rPr>
        <w:t>-счетную комиссию 14</w:t>
      </w:r>
      <w:r w:rsidRPr="00900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ноября </w:t>
      </w:r>
      <w:r w:rsidRPr="00900C14">
        <w:rPr>
          <w:rFonts w:ascii="Times New Roman" w:eastAsia="Times New Roman" w:hAnsi="Times New Roman" w:cs="Times New Roman"/>
          <w:sz w:val="28"/>
          <w:szCs w:val="28"/>
        </w:rPr>
        <w:t>202</w:t>
      </w:r>
      <w:r>
        <w:rPr>
          <w:rFonts w:ascii="Times New Roman" w:eastAsia="Times New Roman" w:hAnsi="Times New Roman" w:cs="Times New Roman"/>
          <w:sz w:val="28"/>
          <w:szCs w:val="28"/>
        </w:rPr>
        <w:t>2 </w:t>
      </w:r>
      <w:r w:rsidRPr="00900C14">
        <w:rPr>
          <w:rFonts w:ascii="Times New Roman" w:eastAsia="Times New Roman" w:hAnsi="Times New Roman" w:cs="Times New Roman"/>
          <w:sz w:val="28"/>
          <w:szCs w:val="28"/>
        </w:rPr>
        <w:t xml:space="preserve">года </w:t>
      </w:r>
      <w:r w:rsidRPr="00900C14">
        <w:rPr>
          <w:rFonts w:ascii="Times New Roman" w:eastAsia="Times New Roman" w:hAnsi="Times New Roman" w:cs="Times New Roman"/>
          <w:sz w:val="28"/>
          <w:szCs w:val="28"/>
        </w:rPr>
        <w:lastRenderedPageBreak/>
        <w:t xml:space="preserve">для проведения экспертизы одновременно с пояснительной запиской.  Представленный на экспертизу Проект решения подготовлен финансовым  управлением администрации Грачевского муниципального </w:t>
      </w:r>
      <w:r>
        <w:rPr>
          <w:rFonts w:ascii="Times New Roman" w:eastAsia="Times New Roman" w:hAnsi="Times New Roman" w:cs="Times New Roman"/>
          <w:sz w:val="28"/>
          <w:szCs w:val="28"/>
        </w:rPr>
        <w:t>округа</w:t>
      </w:r>
      <w:r w:rsidRPr="00900C14">
        <w:rPr>
          <w:rFonts w:ascii="Times New Roman" w:eastAsia="Times New Roman" w:hAnsi="Times New Roman" w:cs="Times New Roman"/>
          <w:sz w:val="28"/>
          <w:szCs w:val="28"/>
        </w:rPr>
        <w:t xml:space="preserve"> (далее – финансовое управление).</w:t>
      </w: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xml:space="preserve">- Дотации на выравнивание бюджетной обеспеченности муниципальных округов предусматриваются в бюджете субъекта РФ в целях выравнивания бюджетной обеспеченности муниципальных округов (исходя из необходимости </w:t>
      </w:r>
      <w:proofErr w:type="gramStart"/>
      <w:r w:rsidRPr="00900C14">
        <w:rPr>
          <w:rFonts w:ascii="Times New Roman" w:eastAsia="Times New Roman" w:hAnsi="Times New Roman" w:cs="Times New Roman"/>
          <w:sz w:val="28"/>
          <w:szCs w:val="28"/>
        </w:rPr>
        <w:t>достижения критерия выравнивания расчетной бюджетной обеспеченности муниципальных округов</w:t>
      </w:r>
      <w:proofErr w:type="gramEnd"/>
      <w:r w:rsidRPr="00900C14">
        <w:rPr>
          <w:rFonts w:ascii="Times New Roman" w:eastAsia="Times New Roman" w:hAnsi="Times New Roman" w:cs="Times New Roman"/>
          <w:sz w:val="28"/>
          <w:szCs w:val="28"/>
        </w:rPr>
        <w:t>).</w:t>
      </w: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Согласно статье 138 Бюджетного кодекса РФ при составлении и утверждении бюджета субъекта Российской Федерации дотации на выравнивание бюджетной обеспеченности могут быть полностью или частично заменены дополнительными нормативами отчислений от НДФЛ.</w:t>
      </w: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В соответствии с пунктом 5 статьи 138 Бюджетного  кодекса РФ, данное решение может приниматься  субъектом Российской Федерации только по согласованию с представительным органом муниципального округа.</w:t>
      </w: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округов в течение текущего финансового года не допускается.</w:t>
      </w: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proofErr w:type="gramStart"/>
      <w:r w:rsidRPr="00900C14">
        <w:rPr>
          <w:rFonts w:ascii="Times New Roman" w:eastAsia="Times New Roman" w:hAnsi="Times New Roman" w:cs="Times New Roman"/>
          <w:sz w:val="28"/>
          <w:szCs w:val="28"/>
        </w:rPr>
        <w:t xml:space="preserve">- В целях увеличения доходной части бюджета Грачевского муниципального округа Ставропольского края  представленным  Проектом решения  предполагается произвести замену 20% дотации на выравнивание уровня бюджетной обеспеченности, причитающейся </w:t>
      </w:r>
      <w:proofErr w:type="spellStart"/>
      <w:r w:rsidRPr="00900C14">
        <w:rPr>
          <w:rFonts w:ascii="Times New Roman" w:eastAsia="Times New Roman" w:hAnsi="Times New Roman" w:cs="Times New Roman"/>
          <w:sz w:val="28"/>
          <w:szCs w:val="28"/>
        </w:rPr>
        <w:t>Грачевскому</w:t>
      </w:r>
      <w:proofErr w:type="spellEnd"/>
      <w:r w:rsidRPr="00900C14">
        <w:rPr>
          <w:rFonts w:ascii="Times New Roman" w:eastAsia="Times New Roman" w:hAnsi="Times New Roman" w:cs="Times New Roman"/>
          <w:sz w:val="28"/>
          <w:szCs w:val="28"/>
        </w:rPr>
        <w:t xml:space="preserve"> муниципальному округу  Ставропольского края из бюджета Ставропольского края на 202</w:t>
      </w:r>
      <w:r w:rsidR="00613F87">
        <w:rPr>
          <w:rFonts w:ascii="Times New Roman" w:eastAsia="Times New Roman" w:hAnsi="Times New Roman" w:cs="Times New Roman"/>
          <w:sz w:val="28"/>
          <w:szCs w:val="28"/>
        </w:rPr>
        <w:t>3</w:t>
      </w:r>
      <w:r w:rsidRPr="00900C14">
        <w:rPr>
          <w:rFonts w:ascii="Times New Roman" w:eastAsia="Times New Roman" w:hAnsi="Times New Roman" w:cs="Times New Roman"/>
          <w:sz w:val="28"/>
          <w:szCs w:val="28"/>
        </w:rPr>
        <w:t xml:space="preserve"> год и плановый период 202</w:t>
      </w:r>
      <w:r w:rsidR="00613F87">
        <w:rPr>
          <w:rFonts w:ascii="Times New Roman" w:eastAsia="Times New Roman" w:hAnsi="Times New Roman" w:cs="Times New Roman"/>
          <w:sz w:val="28"/>
          <w:szCs w:val="28"/>
        </w:rPr>
        <w:t>4</w:t>
      </w:r>
      <w:r w:rsidRPr="00900C14">
        <w:rPr>
          <w:rFonts w:ascii="Times New Roman" w:eastAsia="Times New Roman" w:hAnsi="Times New Roman" w:cs="Times New Roman"/>
          <w:sz w:val="28"/>
          <w:szCs w:val="28"/>
        </w:rPr>
        <w:t xml:space="preserve"> и 202</w:t>
      </w:r>
      <w:r w:rsidR="00613F87">
        <w:rPr>
          <w:rFonts w:ascii="Times New Roman" w:eastAsia="Times New Roman" w:hAnsi="Times New Roman" w:cs="Times New Roman"/>
          <w:sz w:val="28"/>
          <w:szCs w:val="28"/>
        </w:rPr>
        <w:t>5</w:t>
      </w:r>
      <w:r w:rsidRPr="00900C14">
        <w:rPr>
          <w:rFonts w:ascii="Times New Roman" w:eastAsia="Times New Roman" w:hAnsi="Times New Roman" w:cs="Times New Roman"/>
          <w:sz w:val="28"/>
          <w:szCs w:val="28"/>
        </w:rPr>
        <w:t xml:space="preserve"> годов, дополнительным нормативом отчислений в бюджет Грачевского муниципального округа от налога на доходы физических лиц.</w:t>
      </w:r>
      <w:proofErr w:type="gramEnd"/>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w:t>
      </w:r>
      <w:r w:rsidR="00613F87">
        <w:rPr>
          <w:rFonts w:ascii="Times New Roman" w:eastAsia="Times New Roman" w:hAnsi="Times New Roman" w:cs="Times New Roman"/>
          <w:sz w:val="28"/>
          <w:szCs w:val="28"/>
        </w:rPr>
        <w:t xml:space="preserve"> </w:t>
      </w:r>
      <w:r w:rsidR="00613F87" w:rsidRPr="00613F87">
        <w:rPr>
          <w:rFonts w:ascii="Times New Roman" w:eastAsia="Times New Roman" w:hAnsi="Times New Roman" w:cs="Times New Roman"/>
          <w:sz w:val="28"/>
          <w:szCs w:val="28"/>
        </w:rPr>
        <w:t>Целесообразность замены дотации дополнительным нормативом отчислений от налога на доходы физических лиц обусловлена положительной динамикой поступления в бюджет Грачевского муниципального округа НДФЛ за период  2019-2022 годов</w:t>
      </w:r>
      <w:r w:rsidRPr="00900C14">
        <w:rPr>
          <w:rFonts w:ascii="Times New Roman" w:eastAsia="Times New Roman" w:hAnsi="Times New Roman" w:cs="Times New Roman"/>
          <w:sz w:val="28"/>
          <w:szCs w:val="28"/>
        </w:rPr>
        <w:t>.</w:t>
      </w:r>
    </w:p>
    <w:p w:rsidR="00900C14" w:rsidRPr="00900C14" w:rsidRDefault="00900C14" w:rsidP="00613F87">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xml:space="preserve">- </w:t>
      </w:r>
      <w:r w:rsidR="00613F87" w:rsidRPr="00613F87">
        <w:rPr>
          <w:rFonts w:ascii="Times New Roman" w:eastAsia="Times New Roman" w:hAnsi="Times New Roman" w:cs="Times New Roman"/>
          <w:sz w:val="28"/>
          <w:szCs w:val="28"/>
        </w:rPr>
        <w:t>С учетом фактического исполнения по НДФЛ в период 2019-2021 годов (в 2019 году - 106,4%;  в 2020 году - 110,0%;  в 2021 году - 99,4%)  и прогнозного поступления в 2022 году (107,9%) принятие проекта решения  не  приведет к возникновению риска снижения доходной части бюджета Грачевского муниципального округа в 2023 году и плановом периоде 2024 и 2025 годо</w:t>
      </w:r>
      <w:r w:rsidR="00613F87">
        <w:rPr>
          <w:rFonts w:ascii="Times New Roman" w:eastAsia="Times New Roman" w:hAnsi="Times New Roman" w:cs="Times New Roman"/>
          <w:sz w:val="28"/>
          <w:szCs w:val="28"/>
        </w:rPr>
        <w:t>в</w:t>
      </w:r>
      <w:r w:rsidRPr="00900C14">
        <w:rPr>
          <w:rFonts w:ascii="Times New Roman" w:eastAsia="Times New Roman" w:hAnsi="Times New Roman" w:cs="Times New Roman"/>
          <w:sz w:val="28"/>
          <w:szCs w:val="28"/>
        </w:rPr>
        <w:t>.</w:t>
      </w: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В результате проведенной экспертизы представленного Проекта решения, нарушений требований действующего бюджетного законодательства не установлено.</w:t>
      </w: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t>- Возражения или замечания руководителей или иных уполномоченных должностных лиц объектов экспертно-аналитического мероприятия на результаты экспертно-аналитического мероприятия не поступали.</w:t>
      </w: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p>
    <w:p w:rsidR="00900C14" w:rsidRPr="00900C14" w:rsidRDefault="00900C14" w:rsidP="00900C14">
      <w:pPr>
        <w:tabs>
          <w:tab w:val="left" w:pos="-4111"/>
        </w:tabs>
        <w:spacing w:after="0" w:line="240" w:lineRule="auto"/>
        <w:ind w:firstLine="709"/>
        <w:jc w:val="both"/>
        <w:rPr>
          <w:rFonts w:ascii="Times New Roman" w:eastAsia="Times New Roman" w:hAnsi="Times New Roman" w:cs="Times New Roman"/>
          <w:sz w:val="28"/>
          <w:szCs w:val="28"/>
        </w:rPr>
      </w:pPr>
      <w:r w:rsidRPr="00900C14">
        <w:rPr>
          <w:rFonts w:ascii="Times New Roman" w:eastAsia="Times New Roman" w:hAnsi="Times New Roman" w:cs="Times New Roman"/>
          <w:sz w:val="28"/>
          <w:szCs w:val="28"/>
        </w:rPr>
        <w:lastRenderedPageBreak/>
        <w:t>Выводы:</w:t>
      </w:r>
    </w:p>
    <w:p w:rsidR="001A2589" w:rsidRDefault="00613F87" w:rsidP="00900C14">
      <w:pPr>
        <w:tabs>
          <w:tab w:val="left" w:pos="-4111"/>
        </w:tabs>
        <w:spacing w:after="0" w:line="240" w:lineRule="auto"/>
        <w:ind w:firstLine="709"/>
        <w:jc w:val="both"/>
        <w:rPr>
          <w:rFonts w:ascii="Times New Roman" w:hAnsi="Times New Roman" w:cs="Times New Roman"/>
          <w:sz w:val="28"/>
          <w:szCs w:val="28"/>
        </w:rPr>
      </w:pPr>
      <w:proofErr w:type="gramStart"/>
      <w:r w:rsidRPr="00613F87">
        <w:rPr>
          <w:rFonts w:ascii="Times New Roman" w:eastAsia="Times New Roman" w:hAnsi="Times New Roman" w:cs="Times New Roman"/>
          <w:sz w:val="28"/>
          <w:szCs w:val="28"/>
        </w:rPr>
        <w:t>Представленный на экспертизу проект решения Совета Грачевского муниципального округа Ставропольского края «Об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 не противоречит действующему законодательству и может быть рассмотрен на очередном заседании Совета Грачевского муниципального округа Ставропольского края в установленном порядке</w:t>
      </w:r>
      <w:r w:rsidR="00900C14" w:rsidRPr="00900C14">
        <w:rPr>
          <w:rFonts w:ascii="Times New Roman" w:eastAsia="Times New Roman" w:hAnsi="Times New Roman" w:cs="Times New Roman"/>
          <w:sz w:val="28"/>
          <w:szCs w:val="28"/>
        </w:rPr>
        <w:t>.</w:t>
      </w:r>
      <w:proofErr w:type="gramEnd"/>
    </w:p>
    <w:p w:rsidR="001A2589" w:rsidRPr="002943B6" w:rsidRDefault="001A2589" w:rsidP="005663B2">
      <w:pPr>
        <w:tabs>
          <w:tab w:val="left" w:pos="8280"/>
        </w:tabs>
        <w:spacing w:after="0" w:line="240" w:lineRule="auto"/>
        <w:jc w:val="both"/>
        <w:rPr>
          <w:rFonts w:ascii="Times New Roman" w:hAnsi="Times New Roman" w:cs="Times New Roman"/>
          <w:sz w:val="28"/>
          <w:szCs w:val="28"/>
        </w:rPr>
      </w:pPr>
    </w:p>
    <w:p w:rsidR="00866BE0" w:rsidRDefault="006E774C" w:rsidP="006E774C">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r>
    </w:p>
    <w:p w:rsidR="00A96A05" w:rsidRDefault="00A96A05" w:rsidP="00613F87">
      <w:pPr>
        <w:spacing w:after="0" w:line="280" w:lineRule="exact"/>
        <w:jc w:val="both"/>
      </w:pPr>
      <w:bookmarkStart w:id="0" w:name="_GoBack"/>
      <w:bookmarkEnd w:id="0"/>
    </w:p>
    <w:sectPr w:rsidR="00A96A05" w:rsidSect="006E77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0688C"/>
    <w:rsid w:val="000150DE"/>
    <w:rsid w:val="000341F7"/>
    <w:rsid w:val="0005384C"/>
    <w:rsid w:val="0009041A"/>
    <w:rsid w:val="000A2240"/>
    <w:rsid w:val="000D0BA5"/>
    <w:rsid w:val="00131503"/>
    <w:rsid w:val="00156DB1"/>
    <w:rsid w:val="00181DCE"/>
    <w:rsid w:val="001A2589"/>
    <w:rsid w:val="001C208A"/>
    <w:rsid w:val="001C3445"/>
    <w:rsid w:val="001E3861"/>
    <w:rsid w:val="0022247D"/>
    <w:rsid w:val="002377A1"/>
    <w:rsid w:val="00273A1D"/>
    <w:rsid w:val="002801DA"/>
    <w:rsid w:val="00283732"/>
    <w:rsid w:val="00285B84"/>
    <w:rsid w:val="002943B6"/>
    <w:rsid w:val="0029535F"/>
    <w:rsid w:val="002B5739"/>
    <w:rsid w:val="002E5849"/>
    <w:rsid w:val="00324FEB"/>
    <w:rsid w:val="0034372A"/>
    <w:rsid w:val="00363F03"/>
    <w:rsid w:val="00384FC6"/>
    <w:rsid w:val="003B55E2"/>
    <w:rsid w:val="003E5BEF"/>
    <w:rsid w:val="003E6818"/>
    <w:rsid w:val="003E7C8D"/>
    <w:rsid w:val="003F0037"/>
    <w:rsid w:val="003F3A82"/>
    <w:rsid w:val="00406A37"/>
    <w:rsid w:val="004220E9"/>
    <w:rsid w:val="00476EAF"/>
    <w:rsid w:val="00487D87"/>
    <w:rsid w:val="00493055"/>
    <w:rsid w:val="004B2D43"/>
    <w:rsid w:val="004C29E9"/>
    <w:rsid w:val="00504948"/>
    <w:rsid w:val="005551B3"/>
    <w:rsid w:val="005663B2"/>
    <w:rsid w:val="00584E5C"/>
    <w:rsid w:val="00592B10"/>
    <w:rsid w:val="005C5700"/>
    <w:rsid w:val="005E6822"/>
    <w:rsid w:val="005F1F15"/>
    <w:rsid w:val="006008D0"/>
    <w:rsid w:val="006053B8"/>
    <w:rsid w:val="00613F87"/>
    <w:rsid w:val="006365E2"/>
    <w:rsid w:val="006766A7"/>
    <w:rsid w:val="006C6038"/>
    <w:rsid w:val="006E46BB"/>
    <w:rsid w:val="006E774C"/>
    <w:rsid w:val="00724F7C"/>
    <w:rsid w:val="007366D7"/>
    <w:rsid w:val="0074688C"/>
    <w:rsid w:val="00753B84"/>
    <w:rsid w:val="00755BA0"/>
    <w:rsid w:val="00780002"/>
    <w:rsid w:val="0078457E"/>
    <w:rsid w:val="00795B1D"/>
    <w:rsid w:val="00815E2C"/>
    <w:rsid w:val="00821D82"/>
    <w:rsid w:val="00866BE0"/>
    <w:rsid w:val="00900C14"/>
    <w:rsid w:val="0092243D"/>
    <w:rsid w:val="00925D38"/>
    <w:rsid w:val="009A66BB"/>
    <w:rsid w:val="009C618F"/>
    <w:rsid w:val="009E0130"/>
    <w:rsid w:val="009E2B21"/>
    <w:rsid w:val="009F6B36"/>
    <w:rsid w:val="00A546BF"/>
    <w:rsid w:val="00A93CA6"/>
    <w:rsid w:val="00A96A05"/>
    <w:rsid w:val="00AD24B3"/>
    <w:rsid w:val="00AE5B51"/>
    <w:rsid w:val="00B416D3"/>
    <w:rsid w:val="00B46AFE"/>
    <w:rsid w:val="00B5701B"/>
    <w:rsid w:val="00B64DB1"/>
    <w:rsid w:val="00B9173A"/>
    <w:rsid w:val="00BA1ACF"/>
    <w:rsid w:val="00BC28DB"/>
    <w:rsid w:val="00BE4393"/>
    <w:rsid w:val="00C22EA9"/>
    <w:rsid w:val="00C670B0"/>
    <w:rsid w:val="00C80F5B"/>
    <w:rsid w:val="00CA69D5"/>
    <w:rsid w:val="00D02949"/>
    <w:rsid w:val="00D864A2"/>
    <w:rsid w:val="00DD29E1"/>
    <w:rsid w:val="00E345E5"/>
    <w:rsid w:val="00E73A1A"/>
    <w:rsid w:val="00EB188A"/>
    <w:rsid w:val="00F30229"/>
    <w:rsid w:val="00F320FE"/>
    <w:rsid w:val="00F54CF1"/>
    <w:rsid w:val="00F66566"/>
    <w:rsid w:val="00F74F61"/>
    <w:rsid w:val="00F96D9B"/>
    <w:rsid w:val="00FD7008"/>
    <w:rsid w:val="00FE0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89"/>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paragraph" w:styleId="a8">
    <w:name w:val="Normal (Web)"/>
    <w:basedOn w:val="a"/>
    <w:unhideWhenUsed/>
    <w:rsid w:val="00504948"/>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755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89"/>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paragraph" w:styleId="a8">
    <w:name w:val="Normal (Web)"/>
    <w:basedOn w:val="a"/>
    <w:unhideWhenUsed/>
    <w:rsid w:val="00504948"/>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755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KSK</cp:lastModifiedBy>
  <cp:revision>20</cp:revision>
  <cp:lastPrinted>2019-08-27T08:13:00Z</cp:lastPrinted>
  <dcterms:created xsi:type="dcterms:W3CDTF">2018-12-24T12:06:00Z</dcterms:created>
  <dcterms:modified xsi:type="dcterms:W3CDTF">2023-01-12T07:48:00Z</dcterms:modified>
</cp:coreProperties>
</file>