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</w:t>
      </w:r>
      <w:r w:rsidR="0029535F" w:rsidRPr="0029535F">
        <w:t xml:space="preserve">Оперативный анализ исполнения бюджета  Грачевского муниципального округа Ставропольского края за </w:t>
      </w:r>
      <w:r w:rsidR="00C84AB7">
        <w:t>9 месяцев</w:t>
      </w:r>
      <w:r w:rsidR="0029535F" w:rsidRPr="0029535F">
        <w:t xml:space="preserve"> 2021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5B04C3" w:rsidP="005B04C3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ноября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 w:rsidR="00AD24B3">
              <w:rPr>
                <w:rFonts w:ascii="Times New Roman" w:hAnsi="Times New Roman" w:cs="Times New Roman"/>
                <w:sz w:val="28"/>
              </w:rPr>
              <w:t>2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C84AB7">
        <w:rPr>
          <w:rFonts w:ascii="Times New Roman" w:hAnsi="Times New Roman" w:cs="Times New Roman"/>
          <w:sz w:val="28"/>
          <w:szCs w:val="28"/>
        </w:rPr>
        <w:t>9 месяцев</w:t>
      </w:r>
      <w:r w:rsidR="0074688C">
        <w:rPr>
          <w:rFonts w:ascii="Times New Roman" w:hAnsi="Times New Roman" w:cs="Times New Roman"/>
          <w:sz w:val="28"/>
          <w:szCs w:val="28"/>
        </w:rPr>
        <w:t xml:space="preserve">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5B04C3">
        <w:rPr>
          <w:rFonts w:ascii="Times New Roman" w:hAnsi="Times New Roman" w:cs="Times New Roman"/>
          <w:sz w:val="28"/>
          <w:szCs w:val="28"/>
        </w:rPr>
        <w:t>9 месяцев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5B04C3">
        <w:rPr>
          <w:rFonts w:ascii="Times New Roman" w:hAnsi="Times New Roman" w:cs="Times New Roman"/>
          <w:sz w:val="28"/>
          <w:szCs w:val="28"/>
        </w:rPr>
        <w:t>25 октября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5B04C3">
        <w:rPr>
          <w:rFonts w:ascii="Times New Roman" w:hAnsi="Times New Roman" w:cs="Times New Roman"/>
          <w:sz w:val="28"/>
          <w:szCs w:val="28"/>
        </w:rPr>
        <w:t>9 ноября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9 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месяцев 2022 года представлен Советом Грачевского муниципального округа в КСК в срок, установленный пунктом 55 Положения о бюджетном процессе в </w:t>
      </w:r>
      <w:proofErr w:type="spellStart"/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5 статьи 264.2 Бюджетного кодекса РФ отчет об исполнении бюджета Грачевского муниципа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льного округа за 9 месяцев 2022 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года утвержден распоряжением администрации Грачевского муниципального округа от 14 октября 2022 года № 159-р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AD24B3" w:rsidRPr="00AD24B3" w:rsidRDefault="00AD24B3" w:rsidP="005B04C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бюджет Грачевского муниципального округа исполнен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по доходам - в объеме 1 036 761,70 тыс. рублей или 62,71 % утвержденного бюджета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по расходам – в объеме 1 009 029,51 рублей или 59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,25% сводной бюджетной росписи,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с профицитом в размере 27 732,19 тыс. рублей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EA9" w:rsidRDefault="00AD24B3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в бюджет Грачевского муниципального округа поступили доходы в сумме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1 036 761,70 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или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62,71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% к годовым уточненным плановым назначениям, из них</w:t>
      </w:r>
      <w:r w:rsid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: налоговые доходы –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82 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956,19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неналоговые доходы –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33 317,23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безвозмездные поступления –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820 488,28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2021 года фактическое исполнение по доходам за 9 месяцев 2022 года увеличилось на +155 463,15тыс. рублей или на 17,64% (9 месяцев 2021 года – 881 298,55тыс. рублей). Положительная динамика обусловлена ростом объема налогов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ых и неналоговых доходов на +33 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353,58 тыс. рублей (на 18,23%) и бе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звозмездных поступлений на +122 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>109,57 тыс. рублей (на 17,48%).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Исполнение по налоговым доходам составило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182 956,19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77,18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годовым плановым назначениям, что выше объема исполнения за аналогичный период 2021 года на </w:t>
      </w:r>
      <w:r w:rsidR="005B04C3" w:rsidRPr="005B04C3">
        <w:rPr>
          <w:rFonts w:ascii="Times New Roman" w:eastAsia="Times New Roman" w:hAnsi="Times New Roman" w:cs="Times New Roman"/>
          <w:bCs/>
          <w:sz w:val="28"/>
          <w:szCs w:val="28"/>
        </w:rPr>
        <w:t xml:space="preserve">24 492,52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или на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15,46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</w:t>
      </w:r>
      <w:r w:rsidR="005B04C3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2022  года исполнены в сумме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33 </w:t>
      </w:r>
      <w:r w:rsidR="00DE37D4" w:rsidRPr="00DE37D4">
        <w:rPr>
          <w:rFonts w:ascii="Times New Roman" w:eastAsia="Times New Roman" w:hAnsi="Times New Roman" w:cs="Times New Roman"/>
          <w:bCs/>
          <w:sz w:val="28"/>
          <w:szCs w:val="28"/>
        </w:rPr>
        <w:t>317,23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или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86,79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годовым плановым назначениям. К соответствующему периоду 2021 года рост объем поступлений  неналоговых доходов составил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36,23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по итогам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составили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820 </w:t>
      </w:r>
      <w:r w:rsidR="00DE37D4" w:rsidRPr="00DE37D4">
        <w:rPr>
          <w:rFonts w:ascii="Times New Roman" w:eastAsia="Times New Roman" w:hAnsi="Times New Roman" w:cs="Times New Roman"/>
          <w:bCs/>
          <w:sz w:val="28"/>
          <w:szCs w:val="28"/>
        </w:rPr>
        <w:t>488,28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59,55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годовым плановым назначениям. По сравнению с аналогичным периодом 2021 года общий объем безвозмездных поступлений увеличился на 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17,48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%, или на </w:t>
      </w:r>
      <w:r w:rsidR="00DE37D4" w:rsidRPr="00DE37D4">
        <w:rPr>
          <w:rFonts w:ascii="Times New Roman" w:eastAsia="Times New Roman" w:hAnsi="Times New Roman" w:cs="Times New Roman"/>
          <w:bCs/>
          <w:sz w:val="28"/>
          <w:szCs w:val="28"/>
        </w:rPr>
        <w:t>122 109,57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DE37D4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 2021 года – </w:t>
      </w:r>
      <w:r w:rsidR="00DE37D4" w:rsidRPr="00DE37D4">
        <w:rPr>
          <w:rFonts w:ascii="Times New Roman" w:eastAsia="Times New Roman" w:hAnsi="Times New Roman" w:cs="Times New Roman"/>
          <w:bCs/>
          <w:sz w:val="28"/>
          <w:szCs w:val="28"/>
        </w:rPr>
        <w:t>698 378,71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рублей).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Кассовые расходы бюджета муниципаль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округа за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2022 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составили </w:t>
      </w:r>
      <w:r w:rsidR="00A338E8" w:rsidRPr="00A338E8">
        <w:rPr>
          <w:rFonts w:ascii="Times New Roman" w:eastAsia="Times New Roman" w:hAnsi="Times New Roman" w:cs="Times New Roman"/>
          <w:bCs/>
          <w:sz w:val="28"/>
          <w:szCs w:val="28"/>
        </w:rPr>
        <w:t xml:space="preserve">1 009 029,51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или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59,25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уточненному годовому объему бюджетных назначений, что на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129 143,58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14,68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 выше расходов бюджета за аналогичный период 2021 года.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Наибольший удельный вес в отчетном периоде в структуре исполненных расходов бюджета Грачевского муниципального округа занимают расходы по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разделам: «Образование» -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40,50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%; «Социальная политика» -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31,99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%;  «Общ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егосударственные вопросы» - 10,9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5%.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Наименьший показатель исполнения расходов сложился по разделам бюджетной классификации: «Национальная экономика» -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29,46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%, «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Культура, кинематография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47,96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%. 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 исполнения расходной части бюджета за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в разрезе ГРБС варьируется от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33,15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до </w:t>
      </w:r>
      <w:r w:rsidR="00A338E8">
        <w:rPr>
          <w:rFonts w:ascii="Times New Roman" w:eastAsia="Times New Roman" w:hAnsi="Times New Roman" w:cs="Times New Roman"/>
          <w:bCs/>
          <w:sz w:val="28"/>
          <w:szCs w:val="28"/>
        </w:rPr>
        <w:t>81,71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утвержденных бюджетных ассигнований.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Бюджетные ассигнования по разделам, подразделам, целевым статьям и группам видов расходов бюджета утверждены на 2022 год в разрезе муниципальных программ и непрограммных направлений деятельности. В общей структуре плановых расходов на год, расходы на реализацию мероприятий 15-ти муниципальных программ составляют </w:t>
      </w:r>
      <w:r w:rsidR="00D70C34" w:rsidRPr="00D70C34">
        <w:rPr>
          <w:rFonts w:ascii="Times New Roman" w:eastAsia="Times New Roman" w:hAnsi="Times New Roman" w:cs="Times New Roman"/>
          <w:bCs/>
          <w:sz w:val="28"/>
          <w:szCs w:val="28"/>
        </w:rPr>
        <w:t xml:space="preserve">1 500 396,05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тыс. рублей или 8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8,10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 от уточненной суммы плановых расходов (</w:t>
      </w:r>
      <w:r w:rsidR="00D70C34" w:rsidRPr="00D70C34">
        <w:rPr>
          <w:rFonts w:ascii="Times New Roman" w:eastAsia="Times New Roman" w:hAnsi="Times New Roman" w:cs="Times New Roman"/>
          <w:bCs/>
          <w:sz w:val="28"/>
          <w:szCs w:val="28"/>
        </w:rPr>
        <w:t>1 703 110,18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рублей). 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За отчетный период исполнение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граммных расходов составило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878 </w:t>
      </w:r>
      <w:r w:rsidR="00D70C34" w:rsidRPr="00D70C34">
        <w:rPr>
          <w:rFonts w:ascii="Times New Roman" w:eastAsia="Times New Roman" w:hAnsi="Times New Roman" w:cs="Times New Roman"/>
          <w:bCs/>
          <w:sz w:val="28"/>
          <w:szCs w:val="28"/>
        </w:rPr>
        <w:t>168,06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58,53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 от уточненных  плановых бюджетных ассигнований.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пяти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программам сложился наиболее низкий показатель исполнения уточненных плановых бюджетных ассигнований: </w:t>
      </w:r>
    </w:p>
    <w:p w:rsidR="00C22EA9" w:rsidRPr="00C22EA9" w:rsidRDefault="00C22EA9" w:rsidP="00D70C34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</w:t>
      </w:r>
      <w:r w:rsidR="00D70C34" w:rsidRPr="00D70C3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Грачевского муниципального округа Ставропольского края на 2018-2024 годы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27,47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МП «Развитие муниципальной службы и противодействие коррупции в </w:t>
      </w:r>
      <w:proofErr w:type="spellStart"/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округе» -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9,27%.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«Управление финансами Грачевского муниципального  округа Ставропольского края» - 0,00%;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«Безопасный муниципальный округ» - 0,00%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EA9" w:rsidRDefault="00D70C34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t>Уточненным Решением о бюджете на 2022 год предусмотрены бюджетные ассигнования на реализацию 4-х национальных прое</w:t>
      </w:r>
      <w:r w:rsidR="005D03B2">
        <w:rPr>
          <w:rFonts w:ascii="Times New Roman" w:eastAsia="Times New Roman" w:hAnsi="Times New Roman" w:cs="Times New Roman"/>
          <w:bCs/>
          <w:sz w:val="28"/>
          <w:szCs w:val="28"/>
        </w:rPr>
        <w:t>ктов (НП </w:t>
      </w: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t>«Культура»; НП «Образование»; НП «Демография»; НП «Безопасные и качественные автомобильные дороги») в объеме 314 452,28 тыс. рублей</w:t>
      </w:r>
      <w:r w:rsidR="00C22E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EA9" w:rsidRPr="00C22EA9" w:rsidRDefault="00D70C34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По состоянию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01.10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.2022 года исполнение мероприятий муниципальных программ в рамках реализации региональных проектов составило </w:t>
      </w:r>
      <w:r w:rsidR="00D70C34" w:rsidRPr="00D70C34">
        <w:rPr>
          <w:rFonts w:ascii="Times New Roman" w:eastAsia="Times New Roman" w:hAnsi="Times New Roman" w:cs="Times New Roman"/>
          <w:bCs/>
          <w:sz w:val="28"/>
          <w:szCs w:val="28"/>
        </w:rPr>
        <w:t>104 467,04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 или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53,25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% от уточненных  плановых бюджетных ассигнований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D70C34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Бюджет Грачевского муниципального округа за 9 месяцев 2022 года исполнен с профицитом в сумме 27 732,19 тыс. рублей, при утвержденном дефиците бюджета в размере 46 431,56 тыс. рублей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D70C34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01.10.2022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прошлого года уменьшилась на 62,95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70C34">
        <w:rPr>
          <w:rFonts w:ascii="Times New Roman" w:eastAsia="Times New Roman" w:hAnsi="Times New Roman" w:cs="Times New Roman"/>
          <w:bCs/>
          <w:sz w:val="28"/>
          <w:szCs w:val="28"/>
        </w:rPr>
        <w:t>человека, и составила 1 859,33 человека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Default="00C22EA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Исполненный бюджет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муниципального округа за </w:t>
      </w:r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9 мес</w:t>
      </w:r>
      <w:r w:rsidR="00C84AB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bookmarkStart w:id="0" w:name="_GoBack"/>
      <w:bookmarkEnd w:id="0"/>
      <w:r w:rsidR="00D70C34">
        <w:rPr>
          <w:rFonts w:ascii="Times New Roman" w:eastAsia="Times New Roman" w:hAnsi="Times New Roman" w:cs="Times New Roman"/>
          <w:bCs/>
          <w:sz w:val="28"/>
          <w:szCs w:val="28"/>
        </w:rPr>
        <w:t>цев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по доходам и расходам и источникам финансирования дефицита бюджета сбалансирован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</w:p>
    <w:p w:rsidR="001A2589" w:rsidRDefault="001A258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589" w:rsidRPr="002943B6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4C4298"/>
    <w:rsid w:val="00504948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338E8"/>
    <w:rsid w:val="00A546BF"/>
    <w:rsid w:val="00A93CA6"/>
    <w:rsid w:val="00A96A05"/>
    <w:rsid w:val="00AD24B3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670B0"/>
    <w:rsid w:val="00C80F5B"/>
    <w:rsid w:val="00C84AB7"/>
    <w:rsid w:val="00CA69D5"/>
    <w:rsid w:val="00D02949"/>
    <w:rsid w:val="00D70C34"/>
    <w:rsid w:val="00D864A2"/>
    <w:rsid w:val="00DD29E1"/>
    <w:rsid w:val="00DE37D4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23</cp:revision>
  <cp:lastPrinted>2019-08-27T08:13:00Z</cp:lastPrinted>
  <dcterms:created xsi:type="dcterms:W3CDTF">2018-12-24T12:06:00Z</dcterms:created>
  <dcterms:modified xsi:type="dcterms:W3CDTF">2023-01-12T07:51:00Z</dcterms:modified>
</cp:coreProperties>
</file>