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</w:t>
      </w:r>
      <w:r w:rsidR="0029535F" w:rsidRPr="0029535F">
        <w:t>Оперативный анализ исполнения бюджета  Грачевского муниципального округа Ставропольского края за I полугодие 2021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AD24B3" w:rsidP="00C22EA9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22EA9">
              <w:rPr>
                <w:rFonts w:ascii="Times New Roman" w:hAnsi="Times New Roman" w:cs="Times New Roman"/>
                <w:sz w:val="28"/>
              </w:rPr>
              <w:t>8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2EA9">
              <w:rPr>
                <w:rFonts w:ascii="Times New Roman" w:hAnsi="Times New Roman" w:cs="Times New Roman"/>
                <w:sz w:val="28"/>
              </w:rPr>
              <w:t>августа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74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88C">
        <w:rPr>
          <w:rFonts w:ascii="Times New Roman" w:hAnsi="Times New Roman" w:cs="Times New Roman"/>
          <w:sz w:val="28"/>
          <w:szCs w:val="28"/>
        </w:rPr>
        <w:t> </w:t>
      </w:r>
      <w:r w:rsidR="00C22EA9">
        <w:rPr>
          <w:rFonts w:ascii="Times New Roman" w:hAnsi="Times New Roman" w:cs="Times New Roman"/>
          <w:sz w:val="28"/>
          <w:szCs w:val="28"/>
        </w:rPr>
        <w:t>полугодие</w:t>
      </w:r>
      <w:r w:rsidR="0074688C">
        <w:rPr>
          <w:rFonts w:ascii="Times New Roman" w:hAnsi="Times New Roman" w:cs="Times New Roman"/>
          <w:sz w:val="28"/>
          <w:szCs w:val="28"/>
        </w:rPr>
        <w:t xml:space="preserve">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proofErr w:type="gramStart"/>
      <w:r w:rsidR="00AD24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24B3" w:rsidRPr="00AD24B3">
        <w:rPr>
          <w:rFonts w:ascii="Times New Roman" w:hAnsi="Times New Roman" w:cs="Times New Roman"/>
          <w:sz w:val="28"/>
          <w:szCs w:val="28"/>
        </w:rPr>
        <w:t xml:space="preserve"> </w:t>
      </w:r>
      <w:r w:rsidR="00C22EA9">
        <w:rPr>
          <w:rFonts w:ascii="Times New Roman" w:hAnsi="Times New Roman" w:cs="Times New Roman"/>
          <w:sz w:val="28"/>
          <w:szCs w:val="28"/>
        </w:rPr>
        <w:t>полугодие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AD24B3">
        <w:rPr>
          <w:rFonts w:ascii="Times New Roman" w:hAnsi="Times New Roman" w:cs="Times New Roman"/>
          <w:sz w:val="28"/>
          <w:szCs w:val="28"/>
        </w:rPr>
        <w:t>11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C22EA9">
        <w:rPr>
          <w:rFonts w:ascii="Times New Roman" w:hAnsi="Times New Roman" w:cs="Times New Roman"/>
          <w:sz w:val="28"/>
          <w:szCs w:val="28"/>
        </w:rPr>
        <w:t>18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C22EA9">
        <w:rPr>
          <w:rFonts w:ascii="Times New Roman" w:hAnsi="Times New Roman" w:cs="Times New Roman"/>
          <w:sz w:val="28"/>
          <w:szCs w:val="28"/>
        </w:rPr>
        <w:t>августа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 w:rsidR="00C22EA9"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I 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полугодие 2022 года представлен Советом Грачевского муниципального округа в КСК в срок, установленный пунктом 55 Положения о бюджетном процессе в </w:t>
      </w:r>
      <w:proofErr w:type="spellStart"/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округа за I полугодие 2022 года утвержден распоряжением администрации Грачевского муниципального округа от 8 августа 2022 года № 118-р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По итогам I полугодия 2022 года бюджет Грачевского муниципального округа исполнен по доходам в сумме 619 132,19 тыс. рублей, или на 38,12% к утвержденным годовым плановым назначениям с учетом изменений; по расходам – 622 023,28 тыс. рублей, или на 37,22% к  годовым назначениям  сводной  бюджетной росписи; с дефицитом – 2 891,09 тыс. рублей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C22EA9" w:rsidRDefault="00AD24B3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За I полугодие 2022 года в бюджет Грачевского муниципального округа поступили доходы в сумме 619 132,19  тыс. рублей или 38,12% к годовым уточненным плановым назначениям, из них</w:t>
      </w:r>
      <w:r w:rsidR="00C22EA9">
        <w:rPr>
          <w:rFonts w:ascii="Times New Roman" w:eastAsia="Times New Roman" w:hAnsi="Times New Roman" w:cs="Times New Roman"/>
          <w:bCs/>
          <w:sz w:val="28"/>
          <w:szCs w:val="28"/>
        </w:rPr>
        <w:t>: налоговые доходы – 105 051,70 </w:t>
      </w:r>
      <w:r w:rsidR="00C22EA9" w:rsidRPr="00C22EA9">
        <w:rPr>
          <w:rFonts w:ascii="Times New Roman" w:eastAsia="Times New Roman" w:hAnsi="Times New Roman" w:cs="Times New Roman"/>
          <w:bCs/>
          <w:sz w:val="28"/>
          <w:szCs w:val="28"/>
        </w:rPr>
        <w:t>тыс. рублей, неналоговые доходы – 19 106,14 тыс. рублей, безвозмездные поступления – 494 974,35 тыс. рублей.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2021 года фактическое исполнение по доходам за I полугодие 2022 года увеличилось на 55 987,23 тыс. рублей или на 9,94% (I полугодие 2021 года – 563 144,96 тыс. рублей). Положительная динамика обусловлена ростом объема налого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вых и неналоговых доходов на 15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097,88 тыс. рублей (на 13,84%) и безвозм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ездных поступлений на 40 889,35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9,00%).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105 051,70 тыс. рублей, или 45,03% к годовым плановым назначениям, что выше объема исполнения за аналогичный период 2021 года на 9 458,53 тыс. рублей или на 9,89%.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I полугодие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2022  года исполнены в сумме 19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106,14 тыс. рублей или 51,76% к годовым плановым назначениям. К соответствующему периоду 2021 года рост объем поступлений  неналоговых доходов составил 41,88%.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по итогам I полугодия 2022 года составили 494 974,35 тыс. рублей или 36,55% к годовым плановым назначениям. По сравнению с аналогичным периодом 2021 года общий объем безвозмездных поступлений увеличился на 9,00%, или на 40 889,35 тыс. рублей (I полугодие  2021 года – 454 085,00 тыс. рублей).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Кассовые расходы бюджета муниципаль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округа за I полугодие 2022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года составили 622 023,28 тыс. рублей или 37,22% к уточненному годовому объему бюджетных назначений, что на 55 080,45 тыс. рублей или 9,72% выше расходов бюджета за аналогичный период 2021 года.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Наибольший удельный вес в отчетном периоде в структуре исполненных расходов бюджета Грачевского муниципального округа занимают расходы по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разделам: «Образование» - 41,96%; «Социальная политика» - 34,39%;  «Общегосударственные вопросы» - 10,85%.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Наименьший показатель исполнения расходов сложился по разделам бюджетной классификации: «Национальная экономика» - 11,16%, «Жилищно-коммунальное хозяйство» - 15,57%. 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 исполнения расходной части бюджета за I полугодие 2022 года в разрезе ГРБС варьируется от 5,81% до 62,23% от утвержденных бюджетных ассигнований.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Бюджетные ассигнования по разделам, подразделам, целевым статьям и группам видов расходов бюджета утверждены на 2022 год в разрезе муниципальных программ и непрограммных направлений деятельности. В общей структуре плановых расходов на год, расходы на реализацию мероприятий 15-ти муниципальных программ составляют 1 433 710,03 тыс. рублей или 85,80% от уточненной суммы плановых расходов (1 671 065,83 тыс. рублей). 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За отчетный период исполнение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граммных расходов составило 544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812,09 тыс. рублей или 38,00% от уточненных  плановых бюджетных ассигнований.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шести  программам сложился наиболее низкий показатель исполнения уточненных плановых бюджетных ассигнований: 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- 10,46%;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МП «Развитие муниципальной службы и противодействие коррупции в </w:t>
      </w:r>
      <w:proofErr w:type="spellStart"/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округе» - 2,73%;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«Управление финансами Грачевского муниципального  округа Ставропольского края» - 0,00%;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C22EA9" w:rsidRPr="00C22EA9" w:rsidRDefault="00C22EA9" w:rsidP="00C22EA9">
      <w:pPr>
        <w:widowControl w:val="0"/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«Создание условий для обеспечения доступным и комфортным жильем граждан Грачевского муниципального округа Ставропольского края» - 0,00%;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- МП «Безопасный муниципальный округ» - 0,00%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Уточненным Решением о бюджете на 2022 год предусмотрены бюджетные ассигнования на реализаци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4-х национальных проектов (НП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«Культура»; НП «Образование»; НП «Демография»; НП «Безопасные и качественные автомобильные дороги») в объеме 193 949,94 тыс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рублей.</w:t>
      </w:r>
    </w:p>
    <w:p w:rsidR="00C22EA9" w:rsidRPr="00C22EA9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округа.</w:t>
      </w:r>
    </w:p>
    <w:p w:rsidR="00AD24B3" w:rsidRPr="00AD24B3" w:rsidRDefault="00C22EA9" w:rsidP="00C22EA9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01.07.2022 года исполнение мероприятий муниципальных программ в рамках реализации региональных проектов 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составило 50 857,57 тыс. рублей или 26,22% от уточненных  плановых бюджетных ассигнований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C22EA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Бюджет Грачевского муниципального округа за   I полугодие 2022 года исполнен с дефицитом в сумме 2 891,09 тыс. рублей, при утвержденном дефиците бюджета в размере 48 344,18 тыс. рублей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Pr="00AD24B3" w:rsidRDefault="00C22EA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01.07.2022  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шлого года уменьшилась на 67,82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человека, и составила 1 859,33 человека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24B3" w:rsidRDefault="00C22EA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Исполненный бюджет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I </w:t>
      </w:r>
      <w:r w:rsidRPr="00C22EA9">
        <w:rPr>
          <w:rFonts w:ascii="Times New Roman" w:eastAsia="Times New Roman" w:hAnsi="Times New Roman" w:cs="Times New Roman"/>
          <w:bCs/>
          <w:sz w:val="28"/>
          <w:szCs w:val="28"/>
        </w:rPr>
        <w:t>полугодие 2022 года по доходам и расходам и источникам финансирования дефицита бюджета сбалансирован</w:t>
      </w:r>
      <w:r w:rsidR="00AD24B3" w:rsidRPr="00AD24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</w:p>
    <w:p w:rsidR="001A2589" w:rsidRDefault="001A258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33C05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D24B3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19</cp:revision>
  <cp:lastPrinted>2019-08-27T08:13:00Z</cp:lastPrinted>
  <dcterms:created xsi:type="dcterms:W3CDTF">2018-12-24T12:06:00Z</dcterms:created>
  <dcterms:modified xsi:type="dcterms:W3CDTF">2022-12-21T12:46:00Z</dcterms:modified>
</cp:coreProperties>
</file>