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890" w:rsidRPr="00E148FC" w:rsidRDefault="00F54890" w:rsidP="00B23C1A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ДОПОЛНИТЕЛЬНАЯ ИНФОРМАЦИЯ </w:t>
      </w:r>
    </w:p>
    <w:p w:rsidR="00F54890" w:rsidRPr="00E148FC" w:rsidRDefault="00F54890" w:rsidP="00B23C1A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 Грачевского муниципального округа Ставропольского края </w:t>
      </w:r>
      <w:r w:rsidR="00CC7BD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148F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поддержка граждан в Грачевском муниципальном округе</w:t>
      </w:r>
      <w:r w:rsidR="00B23C1A" w:rsidRPr="00E1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7BD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края»</w:t>
      </w:r>
    </w:p>
    <w:p w:rsidR="00F54890" w:rsidRPr="00B23C1A" w:rsidRDefault="00F54890" w:rsidP="00B23C1A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7BF5" w:rsidRDefault="00F54890" w:rsidP="00DC135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07BF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C1350" w:rsidRPr="00507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7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Характеристика текущего состояния сферы </w:t>
      </w:r>
      <w:r w:rsidRPr="00507B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реализации </w:t>
      </w:r>
    </w:p>
    <w:p w:rsidR="00F54890" w:rsidRPr="00507BF5" w:rsidRDefault="00F54890" w:rsidP="00DC135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 w:rsidRPr="00507B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Программы, в том числе формулировки основных проблем в указанной сфере и прогноз ее развития</w:t>
      </w:r>
      <w:proofErr w:type="gramEnd"/>
    </w:p>
    <w:p w:rsidR="00DC1350" w:rsidRPr="00B23C1A" w:rsidRDefault="00DC1350" w:rsidP="00DC135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5B13" w:rsidRDefault="00F54890" w:rsidP="00DC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разработана в соответствии с Бюджетным кодексом Российской Федерации и</w:t>
      </w:r>
      <w:r w:rsidR="00B23C1A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направлена на реализацию муниципальной политики округа по созданию эффективной системы социальной поддержки граждан, определенной </w:t>
      </w:r>
      <w:r w:rsidR="009B5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</w:t>
      </w:r>
      <w:r w:rsidR="009B5B13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Грачевского муниципального района</w:t>
      </w:r>
      <w:r w:rsidR="009B5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9B5B13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тавропольского края</w:t>
      </w:r>
      <w:r w:rsidR="009B5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17 декабря 2019 года</w:t>
      </w:r>
      <w:r w:rsidR="009B5B13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65</w:t>
      </w:r>
      <w:r w:rsidR="009B5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5B13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Стратегии социально-экономического развития Грачевского муниципального района Ставропольского края до 2035 года»</w:t>
      </w:r>
    </w:p>
    <w:p w:rsidR="00F54890" w:rsidRPr="00B23C1A" w:rsidRDefault="00F54890" w:rsidP="00DC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способов решения проблем снижения уровня и качества жизни граждан является поддержание реальных доходов населения.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 практически каждый третий житель </w:t>
      </w:r>
      <w:r w:rsidR="00424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получателем мер социальной поддержки. Поддержание реальных доходов населения </w:t>
      </w:r>
      <w:r w:rsidR="00424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счет оказания адресной социальной помощи с учетом конкретной трудной жизненной ситуации гражданина, его социального статуса, состава семьи, получаемого дохода является одним из способов решения проблемы снижения уровня и качества жизни граждан.</w:t>
      </w:r>
    </w:p>
    <w:p w:rsidR="00F54890" w:rsidRPr="00B23C1A" w:rsidRDefault="00F54890" w:rsidP="00DC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Эффективное функционирование сферы социальной защиты населения </w:t>
      </w:r>
      <w:r w:rsidR="0042488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 на предоставление мер социальной поддержки, социальных гарантий и выплат нуждающимся гражданам в полном объеме.</w:t>
      </w:r>
    </w:p>
    <w:p w:rsidR="00F54890" w:rsidRPr="00B23C1A" w:rsidRDefault="00F54890" w:rsidP="00DC1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Уровень семейного неблагополучия тесно связан с уровнем жизни семей с детьми. Среди них в особой заботе государства нуждаются семьи, имеющие детей-инвалидов, неполные и многодетные семьи, семьи, попавшие в трудную жизненную ситуацию. </w:t>
      </w:r>
    </w:p>
    <w:p w:rsidR="00F54890" w:rsidRPr="00B23C1A" w:rsidRDefault="00F54890" w:rsidP="00DC1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B23C1A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С января 2019 года на территории Ставропольского края осуществляется реализация мероприятий регионального проекта «Финансовая поддержка семей при рождении детей на территории Ставропольского края» (далее - региональный проект), разработанного в рамках национального проекта «Демография» и в целях реализации Указа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года».</w:t>
      </w:r>
      <w:proofErr w:type="gramEnd"/>
    </w:p>
    <w:p w:rsidR="00F54890" w:rsidRPr="00B23C1A" w:rsidRDefault="00F54890" w:rsidP="00DC1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</w:pPr>
      <w:r w:rsidRPr="00B23C1A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Региональный проект направлен на внедрение механизма финансовой поддержки семей при рождении детей, создание благоприятных условий для жизнедеятельности семьи, рождения детей, минимизации последствий изменения материального положения граждан в связи с рождением детей.</w:t>
      </w:r>
    </w:p>
    <w:p w:rsidR="00B75D2A" w:rsidRDefault="00F54890" w:rsidP="00A213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2019 году управлением труда и социальной защиты населения осуществлены </w:t>
      </w:r>
      <w:r w:rsidR="00D044BA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Pr="00B23C1A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выплаты</w:t>
      </w:r>
      <w:r w:rsidR="00D044BA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Pr="00B23C1A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1</w:t>
      </w:r>
      <w:r w:rsidR="00A213CD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49</w:t>
      </w:r>
      <w:r w:rsidR="00D044BA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B23C1A" w:rsidRPr="00B23C1A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B23C1A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семьям, в которых рождены первенцы,</w:t>
      </w:r>
      <w:r w:rsidR="00A213CD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             199</w:t>
      </w:r>
      <w:r w:rsidRPr="00B23C1A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семьям в связи с рождением третьего ребенка или последующих детей. </w:t>
      </w:r>
      <w:r w:rsidRPr="00B23C1A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lastRenderedPageBreak/>
        <w:t>Размер ежемесячной выплаты на первенца составил</w:t>
      </w:r>
      <w:r w:rsidRPr="00B23C1A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B23C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9 154 руб., при рождении третьего либо последующего ребенка 7 950 руб. </w:t>
      </w:r>
    </w:p>
    <w:p w:rsidR="00B75D2A" w:rsidRDefault="0042488C" w:rsidP="00B7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2020 году ежемесячную выплату в связи с рождением (усыновлением) первого ребенка получили 245 семей, в 2021 году </w:t>
      </w:r>
      <w:r w:rsidR="00A213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</w:t>
      </w:r>
      <w:r w:rsidR="00E917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310 семей. </w:t>
      </w:r>
    </w:p>
    <w:p w:rsidR="00E917DC" w:rsidRDefault="0042488C" w:rsidP="00B7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Выплату </w:t>
      </w:r>
      <w:r w:rsidRPr="00B23C1A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в связи с рождением третьего ребенка или последующих детей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в 2020 году получили 228 семей, в 2021 году – 214 семей</w:t>
      </w:r>
      <w:r w:rsidR="00E917DC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.</w:t>
      </w:r>
    </w:p>
    <w:p w:rsidR="00F54890" w:rsidRPr="00B23C1A" w:rsidRDefault="00E917DC" w:rsidP="00B7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Размеры выплат проиндексированы</w:t>
      </w:r>
      <w:r w:rsidR="0042488C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.</w:t>
      </w:r>
      <w:r w:rsidRPr="00E917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F54890" w:rsidRPr="00B23C1A" w:rsidRDefault="00F54890" w:rsidP="00DC1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Кроме того, в целях поддержки семей, имеющих детей и относящихся к категории малоимущих, заключаются социальные контракты, направленные на стимулирование активных действий семей на преодоление трудной жизненной ситуации и улучшение качества их жизни посредством развития личного подсобного хозяйства и предпринимательской деятельности</w:t>
      </w:r>
      <w:r w:rsidR="009415B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.</w:t>
      </w:r>
      <w:r w:rsidRPr="00B23C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F54890" w:rsidRDefault="00F54890" w:rsidP="00DC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2019 году государственной социальной помощью на ведение ЛПХ воспользовались 4 многодетные семьи, общая сумма заключенных контрактов составила 200,0 тыс. руб. В рамках контрактов приобретены сельскохозяйственные животные и построена теплица для выращивания сельхозпродукции. Осуществляется сопровождение контракта с целью анализа влияния его реализации на материальное состояние семьи.</w:t>
      </w:r>
    </w:p>
    <w:p w:rsidR="00B75D2A" w:rsidRDefault="00B75D2A" w:rsidP="00DC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2020 году государственной социальной</w:t>
      </w:r>
      <w:r w:rsidR="00941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помощью на основании социального контракта</w:t>
      </w:r>
      <w:r w:rsidR="009415BB" w:rsidRPr="00941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5BB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ведение ЛПХ</w:t>
      </w:r>
      <w:r w:rsidR="00941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воспользовались 17 малоимущих семей, общая сумма заключенных контрактов составила 1,0 млн. руб.</w:t>
      </w:r>
    </w:p>
    <w:p w:rsidR="009415BB" w:rsidRPr="009415BB" w:rsidRDefault="009415BB" w:rsidP="0094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2021 году </w:t>
      </w:r>
      <w:r w:rsidRPr="009415BB">
        <w:rPr>
          <w:rFonts w:ascii="Times New Roman" w:hAnsi="Times New Roman" w:cs="Times New Roman"/>
          <w:sz w:val="28"/>
          <w:szCs w:val="28"/>
        </w:rPr>
        <w:t xml:space="preserve">изменились порядок и условия оказания государственной социальной помощи на основании социального контракта. В целях стимулирования активных действий малоимущих семей (граждан) по преодолению сложившейся у них трудной жизненной ситуации, расширен перечень мероприятий социальных контрактов, их стало 4: поиск работы, осуществление индивидуальной предпринимательской деятельности, ведение личного подсобного хозяйства, иные мероприятия, направленные на преодоление гражданином трудной жизненной ситуации. </w:t>
      </w:r>
    </w:p>
    <w:p w:rsidR="009415BB" w:rsidRPr="009415BB" w:rsidRDefault="00331DE0" w:rsidP="00941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в 2021 году </w:t>
      </w:r>
      <w:r w:rsidR="009415BB" w:rsidRPr="009415BB">
        <w:rPr>
          <w:rFonts w:ascii="Times New Roman" w:hAnsi="Times New Roman" w:cs="Times New Roman"/>
          <w:sz w:val="28"/>
          <w:szCs w:val="28"/>
        </w:rPr>
        <w:t>заключено 105 социальных  контрактов на общую сумму 11486,54 тыс. руб.</w:t>
      </w:r>
    </w:p>
    <w:p w:rsidR="00F54890" w:rsidRPr="00B23C1A" w:rsidRDefault="00F54890" w:rsidP="00DC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917D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округе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наблюдается ежегодное увеличение количества многодетных семей: по состоянию на 01 января 2020 года количество таких семей составило 6</w:t>
      </w:r>
      <w:r w:rsidRPr="00B23C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72, </w:t>
      </w:r>
      <w:r w:rsidR="00AF73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AF73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которых </w:t>
      </w:r>
      <w:r w:rsidR="00AF73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воспитывается </w:t>
      </w:r>
      <w:r w:rsidR="00AF73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2216 </w:t>
      </w:r>
      <w:r w:rsidR="00AF73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E11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детей,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11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01.01.2021 г. – 684 семьи/2278 детей, на 01.01.2022 г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119D">
        <w:rPr>
          <w:rFonts w:ascii="Times New Roman" w:eastAsia="Times New Roman" w:hAnsi="Times New Roman" w:cs="Times New Roman"/>
          <w:sz w:val="28"/>
          <w:szCs w:val="28"/>
          <w:lang w:eastAsia="ru-RU"/>
        </w:rPr>
        <w:t>- 717 семей/2382 детей.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54890" w:rsidRPr="00B23C1A" w:rsidRDefault="00F54890" w:rsidP="00DC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Многодетным семьям взамен набора социальных услуг, предоставляемых в натуральном выражении, выплачивается ежемесячная денежная компенсация на каждого ребенка в возрасте до 18 лет. В 2019 году профинансированы </w:t>
      </w:r>
      <w:r w:rsidR="00AF7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AF7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выплачены </w:t>
      </w:r>
      <w:r w:rsidR="00AF7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AF7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эти </w:t>
      </w:r>
      <w:r w:rsidR="00AF7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</w:t>
      </w:r>
      <w:r w:rsidR="00AF7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денежные </w:t>
      </w:r>
      <w:r w:rsidR="00AF7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средства </w:t>
      </w:r>
      <w:r w:rsidR="00AF7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сумме </w:t>
      </w:r>
      <w:r w:rsidR="00AF7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9,35 </w:t>
      </w:r>
      <w:r w:rsidR="00AF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r w:rsidRPr="00B23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F7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r w:rsidR="00AF7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 w:rsidR="00AF7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980,0 </w:t>
      </w:r>
      <w:r w:rsidR="00AF7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руб. больше, чем в 2018 году (8,37 млн. руб.).</w:t>
      </w:r>
      <w:r w:rsidR="000E1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2020 году выплаты составили 19810,0 тыс. руб., в 2021 году – 21350,0 тыс. руб.</w:t>
      </w:r>
    </w:p>
    <w:p w:rsidR="00F54890" w:rsidRPr="00B23C1A" w:rsidRDefault="00F54890" w:rsidP="00DC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Проводится работа по назначению выплаты многодетным семьям ежегодной денежной компенсации на каждого из детей не старше 18 лет,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обучающихся в общеобразовательных организациях на приобретение комплекта школьной одежды, спортивной одежды и обуви и школьных письменных принадлежностей. В </w:t>
      </w:r>
      <w:r w:rsidR="00AF7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</w:t>
      </w:r>
      <w:r w:rsidR="00AF7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году </w:t>
      </w:r>
      <w:r w:rsidR="00AF7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приняты </w:t>
      </w:r>
      <w:r w:rsidR="00AF7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документы </w:t>
      </w:r>
      <w:r w:rsidR="00AF7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F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384 заявителей на 763 ребенка, выплачено ЕДК на сумму 862,67 тыс. рублей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выше уровня 2018 года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(370/722/782,6 тыс. руб.)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E1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2020 году </w:t>
      </w:r>
      <w:r w:rsidR="004D0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приняты документы от</w:t>
      </w:r>
      <w:r w:rsidR="000E1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399 </w:t>
      </w:r>
      <w:r w:rsidR="004D0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заявителей на </w:t>
      </w:r>
      <w:r w:rsidR="00B75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934,18 тыс. руб., в 2021 год</w:t>
      </w:r>
      <w:proofErr w:type="gramStart"/>
      <w:r w:rsidR="00B75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у-</w:t>
      </w:r>
      <w:proofErr w:type="gramEnd"/>
      <w:r w:rsidR="00B75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533 заявителей на 1062 детей. В 2021 году ежегодная денежная компенсация проиндексирована, ее размер составил 5000,0 руб., назначена на общую сумму 5363,10 тыс. руб.</w:t>
      </w:r>
    </w:p>
    <w:p w:rsidR="00F54890" w:rsidRPr="00B23C1A" w:rsidRDefault="00F54890" w:rsidP="00DC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работа по выявлению, оказанию социальной помощи семьям с несовершеннолетними детьми, находящимися в трудной жизненной ситуации и социально опасном положении во взаимодействии с субъектами профилактики безнадзорности и правонарушений несовершеннолетних. На 01.01.202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на учете в управлении состоит 28 семей в социально опасном положении. </w:t>
      </w:r>
      <w:r w:rsidR="00AF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указанных семьях проживает всего 10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в том числе 7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ru-RU"/>
        </w:rPr>
        <w:t>3 ребенка</w:t>
      </w:r>
      <w:r w:rsidR="00E91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</w:t>
      </w:r>
    </w:p>
    <w:p w:rsidR="00AF73A7" w:rsidRDefault="00F54890" w:rsidP="00DC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оказана помощь семьям, состоящим на профилактическом </w:t>
      </w:r>
      <w:proofErr w:type="gramStart"/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учете</w:t>
      </w:r>
      <w:proofErr w:type="gramEnd"/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F54890" w:rsidRPr="00B23C1A" w:rsidRDefault="00B23C1A" w:rsidP="00DC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54890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социальная помощь 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54890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семьям с детьми, находящимся на профилактическом </w:t>
      </w:r>
      <w:proofErr w:type="gramStart"/>
      <w:r w:rsidR="00F54890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учете</w:t>
      </w:r>
      <w:proofErr w:type="gramEnd"/>
      <w:r w:rsidR="00F54890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общую сумму 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ru-RU"/>
        </w:rPr>
        <w:t>11,14</w:t>
      </w:r>
      <w:r w:rsidR="00F54890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</w:t>
      </w:r>
      <w:r w:rsidR="00E7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54890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54890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– 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54890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ru-RU"/>
        </w:rPr>
        <w:t>1062,47</w:t>
      </w:r>
      <w:r w:rsidR="00F54890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руб.); </w:t>
      </w:r>
    </w:p>
    <w:p w:rsidR="00F54890" w:rsidRPr="00B23C1A" w:rsidRDefault="00B23C1A" w:rsidP="00DC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54890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вещевая помощь 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54890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семьям на общую сумму 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ru-RU"/>
        </w:rPr>
        <w:t>9,5</w:t>
      </w:r>
      <w:r w:rsidR="00F54890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(</w:t>
      </w:r>
      <w:r w:rsidR="00E7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54890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54890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1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54890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ru-RU"/>
        </w:rPr>
        <w:t>13,87</w:t>
      </w:r>
      <w:r w:rsidR="00F54890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руб.)</w:t>
      </w:r>
      <w:r w:rsidR="00AF73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4890" w:rsidRPr="00B23C1A" w:rsidRDefault="00F54890" w:rsidP="00DC135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Справку </w:t>
      </w:r>
      <w:r w:rsidR="00AF73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</w:t>
      </w:r>
      <w:r w:rsidR="00AF73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признании </w:t>
      </w:r>
      <w:r w:rsidR="00AF73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>семьи</w:t>
      </w:r>
      <w:r w:rsidR="00AF73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>малоимущей</w:t>
      </w:r>
      <w:proofErr w:type="gramEnd"/>
      <w:r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начала года оформили</w:t>
      </w:r>
      <w:r w:rsidR="00B23C1A"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ar-SA"/>
        </w:rPr>
        <w:t>200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сем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ar-SA"/>
        </w:rPr>
        <w:t>ей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>, это на 1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справок больше, чем в 20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(1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ar-SA"/>
        </w:rPr>
        <w:t>84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>). Основные причины обращения по вопросу оформления указанной справки не изменились – организация оздоровительного отдыха детей, организация бесплатного питания детей – школьников в общеобразовательных учреждениях.</w:t>
      </w:r>
    </w:p>
    <w:p w:rsidR="00F54890" w:rsidRPr="00B23C1A" w:rsidRDefault="00F54890" w:rsidP="00DC135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>С начала года</w:t>
      </w:r>
      <w:r w:rsidRPr="00B23C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>справки на получение социальной стипендии</w:t>
      </w:r>
      <w:r w:rsidR="00B23C1A"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оформили 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ar-SA"/>
        </w:rPr>
        <w:t>64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студентам (20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г.- 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ar-SA"/>
        </w:rPr>
        <w:t>59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чел.). </w:t>
      </w:r>
    </w:p>
    <w:p w:rsidR="00F54890" w:rsidRPr="00B23C1A" w:rsidRDefault="00F54890" w:rsidP="00DC135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Продолжается реализация краевого законодательства </w:t>
      </w:r>
      <w:r w:rsidRPr="00AF73A7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B23C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государственной социальной помощи населению. На выплату государственной социальной помощи малоимущим гражданам с января по декабрь 20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ar-SA"/>
        </w:rPr>
        <w:t>21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принято 254 пакета документов, выплачено 1050,0 тыс. рублей (20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г.-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ar-SA"/>
        </w:rPr>
        <w:t>192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>/8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ar-SA"/>
        </w:rPr>
        <w:t>13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>0 тыс. руб.).</w:t>
      </w:r>
      <w:r w:rsidR="00B23C1A" w:rsidRPr="00B23C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F54890" w:rsidRPr="00B23C1A" w:rsidRDefault="00F54890" w:rsidP="00DC135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zh-CN"/>
        </w:rPr>
      </w:pPr>
      <w:r w:rsidRPr="00B23C1A"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zh-CN"/>
        </w:rPr>
        <w:t>Поддержка социально уязвимых категорий населения осуществляется в основном в рамках государственных полномочий, но в настоящее время это направление деятельности становится одним из приоритетных и для социально ориентированных некоммерческих организаций (далее – СОНКО).</w:t>
      </w:r>
      <w:r w:rsidR="00B23C1A" w:rsidRPr="00B23C1A"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Pr="00B23C1A"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zh-CN"/>
        </w:rPr>
        <w:t xml:space="preserve">Распоряжением Правительства Ставропольского края от 14.06.2017 № 149-рп утвержден План мероприятий («дорожная карта») по обеспечению поэтапного доступа СОНКО, осуществляющих на территории Ставропольского края деятельность в социальной сфере, к бюджетным </w:t>
      </w:r>
      <w:r w:rsidRPr="00B23C1A"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zh-CN"/>
        </w:rPr>
        <w:lastRenderedPageBreak/>
        <w:t>средствам, выделяемым на предоставление социальных услуг населению Ставропольского края, на 2017-2020 годы.</w:t>
      </w:r>
    </w:p>
    <w:p w:rsidR="00F54890" w:rsidRPr="00B23C1A" w:rsidRDefault="00F54890" w:rsidP="00DC135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zh-CN"/>
        </w:rPr>
      </w:pPr>
      <w:proofErr w:type="gramStart"/>
      <w:r w:rsidRPr="00B23C1A">
        <w:rPr>
          <w:rFonts w:ascii="Times New Roman" w:eastAsia="Calibri" w:hAnsi="Times New Roman" w:cs="Times New Roman"/>
          <w:color w:val="00000A"/>
          <w:spacing w:val="2"/>
          <w:kern w:val="2"/>
          <w:sz w:val="28"/>
          <w:szCs w:val="28"/>
          <w:shd w:val="clear" w:color="auto" w:fill="FFFFFF"/>
          <w:lang w:eastAsia="zh-CN"/>
        </w:rPr>
        <w:t>Финансовая</w:t>
      </w:r>
      <w:proofErr w:type="gramEnd"/>
      <w:r w:rsidRPr="00B23C1A">
        <w:rPr>
          <w:rFonts w:ascii="Times New Roman" w:eastAsia="Calibri" w:hAnsi="Times New Roman" w:cs="Times New Roman"/>
          <w:color w:val="00000A"/>
          <w:spacing w:val="2"/>
          <w:kern w:val="2"/>
          <w:sz w:val="28"/>
          <w:szCs w:val="28"/>
          <w:shd w:val="clear" w:color="auto" w:fill="FFFFFF"/>
          <w:lang w:eastAsia="zh-CN"/>
        </w:rPr>
        <w:t xml:space="preserve"> поддержка деятельности социально-ориентированных некоммерческих организаций является одной из эффективных форм решения социальных проблем. Финансирование СО НКО за счет средств бюджета Грачевского муниципального </w:t>
      </w:r>
      <w:r w:rsidR="009F6EB4">
        <w:rPr>
          <w:rFonts w:ascii="Times New Roman" w:eastAsia="Calibri" w:hAnsi="Times New Roman" w:cs="Times New Roman"/>
          <w:color w:val="00000A"/>
          <w:spacing w:val="2"/>
          <w:kern w:val="2"/>
          <w:sz w:val="28"/>
          <w:szCs w:val="28"/>
          <w:shd w:val="clear" w:color="auto" w:fill="FFFFFF"/>
          <w:lang w:eastAsia="zh-CN"/>
        </w:rPr>
        <w:t>округа</w:t>
      </w:r>
      <w:r w:rsidRPr="00B23C1A">
        <w:rPr>
          <w:rFonts w:ascii="Times New Roman" w:eastAsia="Calibri" w:hAnsi="Times New Roman" w:cs="Times New Roman"/>
          <w:color w:val="00000A"/>
          <w:spacing w:val="2"/>
          <w:kern w:val="2"/>
          <w:sz w:val="28"/>
          <w:szCs w:val="28"/>
          <w:shd w:val="clear" w:color="auto" w:fill="FFFFFF"/>
          <w:lang w:eastAsia="zh-CN"/>
        </w:rPr>
        <w:t xml:space="preserve"> способств</w:t>
      </w:r>
      <w:r w:rsidR="00FF4E5D">
        <w:rPr>
          <w:rFonts w:ascii="Times New Roman" w:eastAsia="Calibri" w:hAnsi="Times New Roman" w:cs="Times New Roman"/>
          <w:color w:val="00000A"/>
          <w:spacing w:val="2"/>
          <w:kern w:val="2"/>
          <w:sz w:val="28"/>
          <w:szCs w:val="28"/>
          <w:shd w:val="clear" w:color="auto" w:fill="FFFFFF"/>
          <w:lang w:eastAsia="zh-CN"/>
        </w:rPr>
        <w:t>ует</w:t>
      </w:r>
      <w:r w:rsidRPr="00B23C1A">
        <w:rPr>
          <w:rFonts w:ascii="Times New Roman" w:eastAsia="Calibri" w:hAnsi="Times New Roman" w:cs="Times New Roman"/>
          <w:color w:val="00000A"/>
          <w:spacing w:val="2"/>
          <w:kern w:val="2"/>
          <w:sz w:val="28"/>
          <w:szCs w:val="28"/>
          <w:shd w:val="clear" w:color="auto" w:fill="FFFFFF"/>
          <w:lang w:eastAsia="zh-CN"/>
        </w:rPr>
        <w:t xml:space="preserve"> выявлению проблем социальной сферы и отбору наиболее эффективных методов их решения, увеличению социальной активности общественных объединений, разрабатывающих социально значимые проекты и мероприятия, направленные на реабилитацию, социализацию и адаптацию граждан, оказавшихся в трудной жизненной ситуации.</w:t>
      </w:r>
    </w:p>
    <w:p w:rsidR="00F54890" w:rsidRPr="00B23C1A" w:rsidRDefault="00F54890" w:rsidP="00DC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Специфика социально-демографической структуры населения проявляется и в высоком удельном весе численности инвалидов в общей численности населения 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округа.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Численность инвалидов в Грачевском 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округе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202</w:t>
      </w:r>
      <w:r w:rsidR="009F6E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составляет 2</w:t>
      </w:r>
      <w:r w:rsidR="003375F8">
        <w:rPr>
          <w:rFonts w:ascii="Times New Roman" w:eastAsia="Times New Roman" w:hAnsi="Times New Roman" w:cs="Times New Roman"/>
          <w:sz w:val="28"/>
          <w:szCs w:val="28"/>
          <w:lang w:eastAsia="ru-RU"/>
        </w:rPr>
        <w:t>406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человека, из них 2</w:t>
      </w:r>
      <w:r w:rsidR="003375F8">
        <w:rPr>
          <w:rFonts w:ascii="Times New Roman" w:eastAsia="Times New Roman" w:hAnsi="Times New Roman" w:cs="Times New Roman"/>
          <w:sz w:val="28"/>
          <w:szCs w:val="28"/>
          <w:lang w:eastAsia="ru-RU"/>
        </w:rPr>
        <w:t>332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инвалида от общего заболевания,</w:t>
      </w:r>
      <w:r w:rsidR="00B23C1A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75F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4 ребенка-инвалида.</w:t>
      </w:r>
    </w:p>
    <w:p w:rsidR="00F54890" w:rsidRPr="00B23C1A" w:rsidRDefault="00F54890" w:rsidP="00DC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инвалидов в общей численности населения Грачевского </w:t>
      </w:r>
      <w:r w:rsidR="003375F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</w:t>
      </w:r>
      <w:r w:rsidR="003375F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,4 процент</w:t>
      </w:r>
      <w:r w:rsidR="003375F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4890" w:rsidRPr="00B23C1A" w:rsidRDefault="00F54890" w:rsidP="00DC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Значительная часть инвалидов страдает тяжелыми нарушениями здоровья, приводящими к утрате трудоспособности и ограничению самообслуживания.</w:t>
      </w:r>
    </w:p>
    <w:p w:rsidR="00F54890" w:rsidRPr="00B23C1A" w:rsidRDefault="00F54890" w:rsidP="00DC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категория граждан является наиболее уязвимой в сложных экономических условиях, что делает особенно актуальными меры социальной поддержки, предоставляемые инвалидам.</w:t>
      </w:r>
    </w:p>
    <w:p w:rsidR="00F54890" w:rsidRPr="00B23C1A" w:rsidRDefault="00F54890" w:rsidP="00DC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 обеспечения им беспрепятственного доступа к социально значимым объектам имеет первоочередное значение. Реализация мероприятий Программы по обеспечению беспрепятственного доступа к муниципальным объектам социальной инфраструктуры позволит создать более комфортную среду проживания жителям </w:t>
      </w:r>
      <w:r w:rsidR="003375F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повысит уровень социальной защищенности маломобильных граждан.</w:t>
      </w:r>
    </w:p>
    <w:p w:rsidR="00F54890" w:rsidRPr="00B23C1A" w:rsidRDefault="00F54890" w:rsidP="00DC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</w:t>
      </w:r>
      <w:r w:rsidR="00AF7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статье</w:t>
      </w:r>
      <w:r w:rsidR="00AF7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15 </w:t>
      </w:r>
      <w:r w:rsidR="00AF7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Федерального </w:t>
      </w:r>
      <w:r w:rsidR="00AF7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закона </w:t>
      </w:r>
      <w:r w:rsidR="00AF7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AF7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24</w:t>
      </w:r>
      <w:r w:rsidR="00AF7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ноября </w:t>
      </w:r>
      <w:r w:rsidR="00AF7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1995 г.</w:t>
      </w:r>
      <w:r w:rsidR="00AF7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030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181-ФЗ </w:t>
      </w:r>
      <w:r w:rsidR="00C030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социальной защите инвалидов в Российской Федерации</w:t>
      </w:r>
      <w:r w:rsidR="00C030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обеспечение доступности является расходным обязательством бюджетов всех уровней.</w:t>
      </w:r>
    </w:p>
    <w:p w:rsidR="00F54890" w:rsidRPr="00B23C1A" w:rsidRDefault="00F54890" w:rsidP="00DC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Значительная часть ранее введенного в эксплуатацию жилья, магазинов, поликлиник, больниц, других объектов социального обслуживания, транспортных сооружений, улично-дорожной сети не учитывает посещение их гражданами с ограниченными возможностями. С учетом того, что инвалиды и другие маломобильные граждане (люди пожилого возраста, мамочки с колясками, люди, временно потерявшие трудоспособность в связи с травмой и т.д.) составляют около 35 процентов населения </w:t>
      </w:r>
      <w:r w:rsidR="00337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вопрос обеспечения им беспрепятственного доступа к социально значимым объектам имеет первоочередное значение.</w:t>
      </w:r>
    </w:p>
    <w:p w:rsidR="00F54890" w:rsidRPr="00B23C1A" w:rsidRDefault="00F54890" w:rsidP="00DC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Большинство вновь введенных в эксплуатацию зданий и сооружений в Грачевском </w:t>
      </w:r>
      <w:r w:rsidR="00E70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округе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соответствует требованиям доступности. Поэтому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основная задача состоит в том, чтобы привести в норму те объекты, которые были построены несколько десятилетий назад и не соответ</w:t>
      </w:r>
      <w:r w:rsidR="00D33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ствуют принципам </w:t>
      </w:r>
      <w:proofErr w:type="spellStart"/>
      <w:r w:rsidR="00D33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безбарьерности</w:t>
      </w:r>
      <w:proofErr w:type="spellEnd"/>
      <w:r w:rsidR="00D33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3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есть их необходимо дооборудовать.</w:t>
      </w:r>
    </w:p>
    <w:p w:rsidR="00F54890" w:rsidRPr="00B23C1A" w:rsidRDefault="00F54890" w:rsidP="00DC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с 2018 по 2020 год в рамках подпрограммы «Доступная среда в Грачевском </w:t>
      </w:r>
      <w:proofErr w:type="gramStart"/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proofErr w:type="gramEnd"/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</w:t>
      </w:r>
      <w:r w:rsidR="00B23C1A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</w:t>
      </w:r>
      <w:r w:rsidR="00B23C1A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края» муниципальной программы Грачевского муниципального района Ставропольского края «Социальная поддержка граждан в Грачевском муниципальном районе Ставропольского края» были проведены мероприятия по формированию доступности объектов социальной сферы. Общий объем средств бюджета Грачевского муниципального района составил 700,0 тыс. руб.</w:t>
      </w:r>
      <w:r w:rsidR="00B23C1A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4890" w:rsidRPr="00B23C1A" w:rsidRDefault="00F54890" w:rsidP="00DC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23C1A"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 году реализовано основное</w:t>
      </w:r>
      <w:r w:rsidR="00B23C1A"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мероприятие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«Обустройство входной группы</w:t>
      </w:r>
      <w:r w:rsidR="00B23C1A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пандусом и поручнями в муниципальном</w:t>
      </w:r>
      <w:r w:rsidR="00B23C1A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казенном общеобразовательном </w:t>
      </w:r>
      <w:r w:rsidR="00AF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учреждении </w:t>
      </w:r>
      <w:r w:rsidR="00AF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02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Средня</w:t>
      </w:r>
      <w:r w:rsidR="00C0302C">
        <w:rPr>
          <w:rFonts w:ascii="Times New Roman" w:eastAsia="Times New Roman" w:hAnsi="Times New Roman" w:cs="Times New Roman"/>
          <w:sz w:val="28"/>
          <w:szCs w:val="28"/>
          <w:lang w:eastAsia="ru-RU"/>
        </w:rPr>
        <w:t>я общеобразовательная школа № 4»</w:t>
      </w:r>
      <w:r w:rsidR="00B23C1A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с. Красное Грачевского муниципального района Ставропольского края»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Выполнены работы по установке пандуса и расширению дверного проема в здании школы.</w:t>
      </w:r>
      <w:proofErr w:type="gramEnd"/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030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Освоены средства местного бюджета в сумме 300,0 тыс. руб.</w:t>
      </w:r>
    </w:p>
    <w:p w:rsidR="00F54890" w:rsidRPr="00B23C1A" w:rsidRDefault="00F54890" w:rsidP="00DC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реализацию основного</w:t>
      </w:r>
      <w:r w:rsidR="00B23C1A"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мероприятия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района Ставропольского края, с</w:t>
      </w:r>
      <w:proofErr w:type="gramStart"/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proofErr w:type="gramEnd"/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рачевка, ул.Шоссейная,10» направлено 50,0 тыс. рублей. Средства освоены в полном объеме.</w:t>
      </w:r>
    </w:p>
    <w:p w:rsidR="00F54890" w:rsidRPr="00B23C1A" w:rsidRDefault="00F54890" w:rsidP="00DC13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23C1A"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 году выполнены работы по о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бустройству входной группы</w:t>
      </w:r>
      <w:r w:rsidR="00B23C1A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пандусом и поручнями, замена входной двери с расширением дверного проема в муниципальном</w:t>
      </w:r>
      <w:r w:rsidR="00B23C1A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казенном общеобразовательном учреждении </w:t>
      </w:r>
      <w:r w:rsidR="00C0302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Средня</w:t>
      </w:r>
      <w:r w:rsidR="00C0302C">
        <w:rPr>
          <w:rFonts w:ascii="Times New Roman" w:eastAsia="Times New Roman" w:hAnsi="Times New Roman" w:cs="Times New Roman"/>
          <w:sz w:val="28"/>
          <w:szCs w:val="28"/>
          <w:lang w:eastAsia="ru-RU"/>
        </w:rPr>
        <w:t>я общеобразовательная школа № 2»</w:t>
      </w:r>
      <w:r w:rsidR="00B23C1A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с. Бешпагир Грачевского муниципального района Ставропольского края»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сумму 250,0 тыс. рублей. В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здании управления труда и социальной защиты населения администрации Грачевского муниципального района расширен</w:t>
      </w:r>
      <w:r w:rsidR="00B23C1A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дверной проем, произведена замена дверного полотна кабинета № 8, выровнен пол и уложено противоскользящее покрытие. Выполнены работы по расширению дверного проема, замене дверного полотна эвакуационного выхода и подготовке ступеней лестницы эвакуационного выхода для установки инвентарного пандуса. Освоено 100 тыс. рублей. Мероприятия подпрограммы выполнены в полном объеме.</w:t>
      </w:r>
    </w:p>
    <w:p w:rsidR="00F54890" w:rsidRPr="00B23C1A" w:rsidRDefault="00F54890" w:rsidP="00DC1350">
      <w:pPr>
        <w:tabs>
          <w:tab w:val="left" w:pos="78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01.01.2020 г.</w:t>
      </w:r>
      <w:r w:rsidR="00B23C1A"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показателя</w:t>
      </w:r>
      <w:r w:rsidR="00B23C1A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«модернизация, дооборудование значительной части существующих объектов социальной инфраструктуры, строительство новых объектов с учетом требований доступности» увеличилось до 76 объектов социальной сферы, что на 14 выше планового показателя (62 объекта).</w:t>
      </w:r>
    </w:p>
    <w:p w:rsidR="00F54890" w:rsidRPr="00B23C1A" w:rsidRDefault="00F54890" w:rsidP="00DC1350">
      <w:pPr>
        <w:widowControl w:val="0"/>
        <w:tabs>
          <w:tab w:val="left" w:pos="2268"/>
        </w:tabs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kern w:val="1"/>
          <w:sz w:val="28"/>
          <w:szCs w:val="28"/>
          <w:lang w:eastAsia="hi-IN" w:bidi="hi-IN"/>
        </w:rPr>
      </w:pPr>
      <w:r w:rsidRPr="00B23C1A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Однако проблема обеспечения безбарьерной среды на территории округа остается актуальной и требует дальнейших действий, направленных на ее решение. Работа продолжена в рамках подпрограммы </w:t>
      </w:r>
      <w:r w:rsidRPr="00B23C1A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«Доступная среда в Грачевском муниципальном округе» муниципальной программы Грачевского</w:t>
      </w:r>
      <w:r w:rsidRPr="00B23C1A">
        <w:rPr>
          <w:rFonts w:ascii="Times New Roman" w:eastAsia="Arial" w:hAnsi="Times New Roman" w:cs="Times New Roman"/>
          <w:bCs/>
          <w:kern w:val="1"/>
          <w:sz w:val="28"/>
          <w:szCs w:val="28"/>
          <w:lang w:eastAsia="hi-IN" w:bidi="hi-IN"/>
        </w:rPr>
        <w:t xml:space="preserve"> муниципального округа «Социальная поддержка граждан в </w:t>
      </w:r>
      <w:r w:rsidRPr="00B23C1A">
        <w:rPr>
          <w:rFonts w:ascii="Times New Roman" w:eastAsia="Arial" w:hAnsi="Times New Roman" w:cs="Times New Roman"/>
          <w:bCs/>
          <w:kern w:val="1"/>
          <w:sz w:val="28"/>
          <w:szCs w:val="28"/>
          <w:lang w:eastAsia="hi-IN" w:bidi="hi-IN"/>
        </w:rPr>
        <w:lastRenderedPageBreak/>
        <w:t>Грачевском муниципальном округе Ставропольского края».</w:t>
      </w:r>
      <w:r w:rsidR="009415BB">
        <w:rPr>
          <w:rFonts w:ascii="Times New Roman" w:eastAsia="Arial" w:hAnsi="Times New Roman" w:cs="Times New Roman"/>
          <w:bCs/>
          <w:kern w:val="1"/>
          <w:sz w:val="28"/>
          <w:szCs w:val="28"/>
          <w:lang w:eastAsia="hi-IN" w:bidi="hi-IN"/>
        </w:rPr>
        <w:t xml:space="preserve"> </w:t>
      </w:r>
      <w:r w:rsidR="009415BB" w:rsidRPr="00B23C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настоящее </w:t>
      </w:r>
      <w:r w:rsidR="009415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415BB" w:rsidRPr="00B23C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время </w:t>
      </w:r>
      <w:r w:rsidR="009415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415BB" w:rsidRPr="00B23C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условно </w:t>
      </w:r>
      <w:r w:rsidR="009415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415BB" w:rsidRPr="00B23C1A">
        <w:rPr>
          <w:rFonts w:ascii="Times New Roman" w:eastAsia="Calibri" w:hAnsi="Times New Roman" w:cs="Times New Roman"/>
          <w:sz w:val="28"/>
          <w:szCs w:val="28"/>
          <w:lang w:eastAsia="ru-RU"/>
        </w:rPr>
        <w:t>доступны</w:t>
      </w:r>
      <w:r w:rsidR="009415BB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</w:t>
      </w:r>
      <w:r w:rsidR="00941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5BB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41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5BB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округе </w:t>
      </w:r>
      <w:r w:rsidR="00941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5BB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</w:t>
      </w:r>
      <w:r w:rsidR="009415BB" w:rsidRPr="00B23C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415BB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9415BB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приоритетных социальных объектов</w:t>
      </w:r>
      <w:r w:rsidR="009415BB" w:rsidRPr="00B23C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375F8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="009415BB" w:rsidRPr="00B23C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415BB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="009415BB" w:rsidRPr="00B23C1A">
        <w:rPr>
          <w:rFonts w:ascii="Times New Roman" w:eastAsia="Calibri" w:hAnsi="Times New Roman" w:cs="Times New Roman"/>
          <w:sz w:val="28"/>
          <w:szCs w:val="28"/>
          <w:lang w:eastAsia="ru-RU"/>
        </w:rPr>
        <w:t>86</w:t>
      </w:r>
      <w:r w:rsidR="009415BB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приоритетных объектов, требующих оснащения, </w:t>
      </w:r>
      <w:r w:rsidR="009415BB" w:rsidRPr="00B23C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</w:t>
      </w:r>
      <w:r w:rsidR="009415BB">
        <w:rPr>
          <w:rFonts w:ascii="Times New Roman" w:eastAsia="Calibri" w:hAnsi="Times New Roman" w:cs="Times New Roman"/>
          <w:sz w:val="28"/>
          <w:szCs w:val="28"/>
          <w:lang w:eastAsia="ru-RU"/>
        </w:rPr>
        <w:t>93</w:t>
      </w:r>
      <w:r w:rsidR="009415BB" w:rsidRPr="00B23C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процент</w:t>
      </w:r>
      <w:r w:rsidR="009415BB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9415BB" w:rsidRPr="00B23C1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54890" w:rsidRPr="00B23C1A" w:rsidRDefault="00F54890" w:rsidP="00DC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меры социальной поддержки, установленные законодательством Российской Федерации и Ставропольского края, предоставляются в </w:t>
      </w:r>
      <w:r w:rsidR="003375F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округе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своевременно и в полном объеме, в денежной форме всем льготным категориям граждан, что свидетельствует о их равенстве в сфере социальной защиты населения.</w:t>
      </w:r>
    </w:p>
    <w:p w:rsidR="00F54890" w:rsidRPr="00B23C1A" w:rsidRDefault="00F54890" w:rsidP="00DC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вероятными прогнозными вариантами развития сферы социальной защиты населения </w:t>
      </w:r>
      <w:r w:rsidR="003375F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202</w:t>
      </w:r>
      <w:r w:rsidR="003375F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- 2026 годов являются:</w:t>
      </w:r>
    </w:p>
    <w:p w:rsidR="00F54890" w:rsidRPr="00B23C1A" w:rsidRDefault="00B23C1A" w:rsidP="00DC1350">
      <w:pPr>
        <w:spacing w:after="0" w:line="240" w:lineRule="auto"/>
        <w:ind w:right="-108"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  <w:t>-</w:t>
      </w:r>
      <w:r w:rsidR="00F54890" w:rsidRPr="00B23C1A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  <w:t>снижение социальной напряженности и улучшение качества жизни отдельных категорий граждан;</w:t>
      </w:r>
    </w:p>
    <w:p w:rsidR="00F54890" w:rsidRPr="00B23C1A" w:rsidRDefault="00B23C1A" w:rsidP="00DC1350">
      <w:pPr>
        <w:spacing w:after="0" w:line="240" w:lineRule="auto"/>
        <w:ind w:right="-10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="00F54890" w:rsidRPr="00B23C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создание благоприятных условий для жизнедеятельности семьи, рождения детей;</w:t>
      </w:r>
    </w:p>
    <w:p w:rsidR="00F54890" w:rsidRDefault="00B23C1A" w:rsidP="00DC1350">
      <w:pPr>
        <w:spacing w:after="0" w:line="240" w:lineRule="auto"/>
        <w:ind w:right="-10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="00F54890" w:rsidRPr="00B23C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стимулирование активных действий малоимущих семей на преодоление трудной жизненной ситуации и улучшение качества их жизни посредством развития личного подсобного хозяйства, а также предпринимательской деятельности.</w:t>
      </w:r>
      <w:r w:rsidR="00F54890"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C3D04" w:rsidRPr="00B23C1A" w:rsidRDefault="00DC3D04" w:rsidP="00DC1350">
      <w:pPr>
        <w:spacing w:after="0" w:line="240" w:lineRule="auto"/>
        <w:ind w:right="-10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4890" w:rsidRPr="00507BF5" w:rsidRDefault="00B23C1A" w:rsidP="00DC13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F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C1350" w:rsidRPr="00507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4890" w:rsidRPr="00507B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необходимых объемов бюджетных ассигнований местного бюджета по каждому основному мероприятию подпрограмм Программы в части расходных обязательств Грачевского муниципального округа Ставропольского края с учетом прогнозируемого уровня инфляции</w:t>
      </w:r>
    </w:p>
    <w:p w:rsidR="00DC1350" w:rsidRPr="00B23C1A" w:rsidRDefault="00DC1350" w:rsidP="00DC13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4890" w:rsidRPr="00B23C1A" w:rsidRDefault="00F54890" w:rsidP="00DC1350">
      <w:pPr>
        <w:widowControl w:val="0"/>
        <w:tabs>
          <w:tab w:val="left" w:pos="2268"/>
        </w:tabs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</w:pPr>
      <w:proofErr w:type="gramStart"/>
      <w:r w:rsidRPr="00B23C1A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Расчет необходимых объемов бюджетных ассигнований бюджета Грачевского муниципального округа</w:t>
      </w:r>
      <w:r w:rsidR="00B23C1A" w:rsidRPr="00B23C1A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Pr="00B23C1A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на реализацию муниципальной программы Грачевского</w:t>
      </w:r>
      <w:r w:rsidRPr="00B23C1A">
        <w:rPr>
          <w:rFonts w:ascii="Times New Roman" w:eastAsia="Arial" w:hAnsi="Times New Roman" w:cs="Times New Roman"/>
          <w:bCs/>
          <w:kern w:val="1"/>
          <w:sz w:val="28"/>
          <w:szCs w:val="28"/>
          <w:lang w:eastAsia="hi-IN" w:bidi="hi-IN"/>
        </w:rPr>
        <w:t xml:space="preserve"> муниципального округа «Социальная поддержка граждан в Грачевском муниципальном округе Ставропольского края» </w:t>
      </w:r>
      <w:r w:rsidRPr="00B23C1A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осуществлялся </w:t>
      </w:r>
      <w:r w:rsidR="00AF73A7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Pr="00B23C1A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на основании Закона Ставропольского края </w:t>
      </w:r>
      <w:r w:rsidRPr="00B23C1A">
        <w:rPr>
          <w:rFonts w:ascii="Times New Roman" w:hAnsi="Times New Roman" w:cs="Times New Roman"/>
          <w:bCs/>
          <w:color w:val="000000" w:themeColor="text1"/>
          <w:kern w:val="1"/>
          <w:sz w:val="28"/>
          <w:szCs w:val="28"/>
          <w:lang w:bidi="hi-IN"/>
        </w:rPr>
        <w:t xml:space="preserve">от 11 декабря 2009 г. </w:t>
      </w:r>
      <w:r w:rsidR="0089282A">
        <w:rPr>
          <w:rFonts w:ascii="Times New Roman" w:hAnsi="Times New Roman" w:cs="Times New Roman"/>
          <w:bCs/>
          <w:color w:val="000000" w:themeColor="text1"/>
          <w:kern w:val="1"/>
          <w:sz w:val="28"/>
          <w:szCs w:val="28"/>
          <w:lang w:bidi="hi-IN"/>
        </w:rPr>
        <w:t>№</w:t>
      </w:r>
      <w:r w:rsidRPr="00B23C1A">
        <w:rPr>
          <w:rFonts w:ascii="Times New Roman" w:hAnsi="Times New Roman" w:cs="Times New Roman"/>
          <w:bCs/>
          <w:color w:val="000000" w:themeColor="text1"/>
          <w:kern w:val="1"/>
          <w:sz w:val="28"/>
          <w:szCs w:val="28"/>
          <w:lang w:bidi="hi-IN"/>
        </w:rPr>
        <w:t xml:space="preserve"> 92-кз </w:t>
      </w:r>
      <w:r w:rsidR="00C0302C">
        <w:rPr>
          <w:rFonts w:ascii="Times New Roman" w:hAnsi="Times New Roman" w:cs="Times New Roman"/>
          <w:bCs/>
          <w:color w:val="000000" w:themeColor="text1"/>
          <w:kern w:val="1"/>
          <w:sz w:val="28"/>
          <w:szCs w:val="28"/>
          <w:lang w:bidi="hi-IN"/>
        </w:rPr>
        <w:t>«</w:t>
      </w:r>
      <w:r w:rsidRPr="00B23C1A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О наделении органов местного самоуправления муниципальных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</w:t>
      </w:r>
      <w:proofErr w:type="gramEnd"/>
      <w:r w:rsidRPr="00B23C1A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 субъекта Российской Федерации, и отдельными государственными полномочиями Ставропольского края в области труда и социальной защ</w:t>
      </w:r>
      <w:r w:rsidR="00C0302C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иты отдельных категорий граждан»</w:t>
      </w:r>
      <w:r w:rsidRPr="00B23C1A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. </w:t>
      </w:r>
    </w:p>
    <w:p w:rsidR="00F54890" w:rsidRPr="00B23C1A" w:rsidRDefault="00F54890" w:rsidP="00DC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Объем финансовых ресурсов, необходимых для реализации Программы в 2021-2026 годах соответствует предельным объемам</w:t>
      </w:r>
      <w:r w:rsidR="00B23C1A" w:rsidRPr="00B23C1A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бюджетных ассигнований на реализацию программ Грачевского муниципального округа Ставропольского края на 2021-2026 годы.</w:t>
      </w:r>
    </w:p>
    <w:p w:rsidR="00F54890" w:rsidRDefault="0057585B" w:rsidP="00DC13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Обоснование планируемых объемов ресурсов на реализацию Программы приведено в приложении 1 </w:t>
      </w:r>
      <w:proofErr w:type="gramStart"/>
      <w:r w:rsidRPr="0057585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57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</w:t>
      </w:r>
      <w:r w:rsidR="00C0302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7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</w:t>
      </w:r>
      <w:r w:rsidR="00C0302C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информации</w:t>
      </w:r>
      <w:r w:rsidRPr="005758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585B" w:rsidRPr="0057585B" w:rsidRDefault="0057585B" w:rsidP="00B23C1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350" w:rsidRPr="00507BF5" w:rsidRDefault="00B23C1A" w:rsidP="00DC13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 w:rsidR="00DC1350" w:rsidRPr="00507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4890" w:rsidRPr="00507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Описание основных мер правового регулирования </w:t>
      </w:r>
    </w:p>
    <w:p w:rsidR="00F54890" w:rsidRPr="00507BF5" w:rsidRDefault="00F54890" w:rsidP="00DC13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реализации Программы</w:t>
      </w:r>
    </w:p>
    <w:p w:rsidR="00DC1350" w:rsidRPr="00B23C1A" w:rsidRDefault="00DC1350" w:rsidP="00DC13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4890" w:rsidRPr="00B23C1A" w:rsidRDefault="00F54890" w:rsidP="00DC13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Грачевского муниципального округа Ставропольского края </w:t>
      </w:r>
      <w:r w:rsidRPr="00B23C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«Социальная поддержка граждан в Грачевском муниципальном </w:t>
      </w:r>
      <w:r w:rsidR="00AF73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округе </w:t>
      </w:r>
      <w:r w:rsidR="00AF73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Ставропольского края»</w:t>
      </w:r>
      <w:r w:rsidR="00B23C1A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разработана </w:t>
      </w:r>
      <w:r w:rsidRPr="00B23C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соответствии с </w:t>
      </w:r>
      <w:r w:rsidRPr="00B23C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Бюджетным </w:t>
      </w:r>
      <w:hyperlink r:id="rId8" w:history="1">
        <w:r w:rsidRPr="00B23C1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кодексом</w:t>
        </w:r>
      </w:hyperlink>
      <w:r w:rsidRPr="00B23C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Федерации,</w:t>
      </w:r>
    </w:p>
    <w:p w:rsidR="00F54890" w:rsidRPr="00B23C1A" w:rsidRDefault="00F54890" w:rsidP="00DC1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3C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Федеральными </w:t>
      </w:r>
      <w:r w:rsidRPr="00B23C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законами: </w:t>
      </w:r>
    </w:p>
    <w:p w:rsidR="00F54890" w:rsidRPr="00B23C1A" w:rsidRDefault="00F54890" w:rsidP="00DC1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3C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от 06 октября 2003 г. </w:t>
      </w:r>
      <w:r w:rsidR="00DC13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</w:t>
      </w:r>
      <w:r w:rsidRPr="00B23C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131-ФЗ </w:t>
      </w:r>
      <w:r w:rsidR="00DC13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B23C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C13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Pr="00B23C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; </w:t>
      </w:r>
    </w:p>
    <w:p w:rsidR="00F54890" w:rsidRPr="00B23C1A" w:rsidRDefault="00F54890" w:rsidP="00DC1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28 июня 2014 г. </w:t>
      </w:r>
      <w:hyperlink r:id="rId9" w:history="1">
        <w:r w:rsidR="00DC135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№</w:t>
        </w:r>
        <w:r w:rsidRPr="00B23C1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172-ФЗ</w:t>
        </w:r>
      </w:hyperlink>
      <w:r w:rsidRPr="00B23C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C13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B23C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стратегическом планировании в Российской Федерации</w:t>
      </w:r>
      <w:r w:rsidR="00DC13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B23C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; </w:t>
      </w:r>
    </w:p>
    <w:p w:rsidR="00F54890" w:rsidRPr="00B23C1A" w:rsidRDefault="00F54890" w:rsidP="00DC1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24 ноября 1995 г. </w:t>
      </w:r>
      <w:r w:rsidR="00DC135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181-ФЗ </w:t>
      </w:r>
      <w:r w:rsidR="00DC135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социальной защите инвалидов в Российской Федерации</w:t>
      </w:r>
      <w:r w:rsidR="00DC1350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54890" w:rsidRPr="00B23C1A" w:rsidRDefault="00533F1C" w:rsidP="00DC1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hyperlink r:id="rId10" w:history="1">
        <w:r w:rsidR="00F54890" w:rsidRPr="00B23C1A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Законом</w:t>
        </w:r>
      </w:hyperlink>
      <w:r w:rsidR="00F54890" w:rsidRPr="00B23C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Ставропольского края: </w:t>
      </w:r>
    </w:p>
    <w:p w:rsidR="00F54890" w:rsidRPr="00B23C1A" w:rsidRDefault="00F54890" w:rsidP="00DC1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от 11 декабря 2009 г. </w:t>
      </w:r>
      <w:r w:rsidR="00DC13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</w:t>
      </w:r>
      <w:r w:rsidRPr="00B23C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92-кз </w:t>
      </w:r>
      <w:r w:rsidR="00DC13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наделении органов местного самоуправления муниципальных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 отдельными государственными полномочиями Ставропольского края в области труда и социальной защ</w:t>
      </w:r>
      <w:r w:rsidR="00DC1350">
        <w:rPr>
          <w:rFonts w:ascii="Times New Roman" w:eastAsia="Times New Roman" w:hAnsi="Times New Roman" w:cs="Times New Roman"/>
          <w:sz w:val="28"/>
          <w:szCs w:val="28"/>
          <w:lang w:eastAsia="ru-RU"/>
        </w:rPr>
        <w:t>иты отдельных категорий граждан»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C1350" w:rsidRDefault="00F54890" w:rsidP="00DC1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Указом Президента Российской Федерации от 07.05.2018 г. № 204 «О национальных целях и стратегических задачах развития Российской Фе</w:t>
      </w:r>
      <w:r w:rsidR="00AF73A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 на период до 2024 года»;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4890" w:rsidRPr="00B23C1A" w:rsidRDefault="00F54890" w:rsidP="00DC1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Правительства Ставропольского края от 14.06.2017</w:t>
      </w:r>
      <w:r w:rsidR="00AF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149-рп «Об утверждении </w:t>
      </w:r>
      <w:r w:rsidRPr="00B23C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Плана мероприятий (</w:t>
      </w:r>
      <w:r w:rsidR="00DC13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Pr="00B23C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дорожная</w:t>
      </w:r>
      <w:r w:rsidR="00DC13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карта»</w:t>
      </w:r>
      <w:r w:rsidRPr="00B23C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по обеспечению поэтапного доступа социально ориентированных некоммерческих организаций, осуществляющих на территории Ставропольского края деятельность в социальной сфере, к бюджетным средствам, выделяемым на предоставление социальных услуг населению Ставропольского края, на 2017 - 2020 годы»;</w:t>
      </w:r>
      <w:r w:rsidR="00B23C1A" w:rsidRPr="00B23C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890" w:rsidRPr="00B23C1A" w:rsidRDefault="00F54890" w:rsidP="00DC1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C1A">
        <w:rPr>
          <w:rFonts w:ascii="Times New Roman" w:hAnsi="Times New Roman" w:cs="Times New Roman"/>
          <w:sz w:val="28"/>
          <w:szCs w:val="28"/>
        </w:rPr>
        <w:t xml:space="preserve">Уставом Грачевского муниципального </w:t>
      </w:r>
      <w:r w:rsidR="00DC1350">
        <w:rPr>
          <w:rFonts w:ascii="Times New Roman" w:hAnsi="Times New Roman" w:cs="Times New Roman"/>
          <w:sz w:val="28"/>
          <w:szCs w:val="28"/>
        </w:rPr>
        <w:t>округа</w:t>
      </w:r>
      <w:r w:rsidRPr="00B23C1A">
        <w:rPr>
          <w:rFonts w:ascii="Times New Roman" w:hAnsi="Times New Roman" w:cs="Times New Roman"/>
          <w:sz w:val="28"/>
          <w:szCs w:val="28"/>
        </w:rPr>
        <w:t xml:space="preserve"> Ставропольского края;</w:t>
      </w:r>
    </w:p>
    <w:p w:rsidR="00F54890" w:rsidRPr="009B5B13" w:rsidRDefault="009B5B13" w:rsidP="00DC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Грачевского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17 декабря 2019 г</w:t>
      </w:r>
      <w:r w:rsidR="00DC13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Стратегии социально-экономического развития Грачевского муниципального района Ставропольского края до 2035 года»</w:t>
      </w:r>
      <w:r w:rsidR="00F54890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585B" w:rsidRDefault="0057585B" w:rsidP="00DC13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5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порядком разработки, реализации и оценки эффективности муниципальных программ Грачевского муниципального округа Ставропольского края, утвержденным постановлением администрации Грачевского муниципального округа Ставропольского края от 15.12.2020 г. № 22; </w:t>
      </w:r>
    </w:p>
    <w:p w:rsidR="0057585B" w:rsidRDefault="0057585B" w:rsidP="00DC13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5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методическими указаниями по разработке и реализации муниципальных программ Грачевского муниципального округа Ставропольского края, утвержденными постановлением администрации </w:t>
      </w:r>
      <w:r w:rsidRPr="00575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Грачевского муниципального округа Ставропольск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края от 15.12.2020 г. № 23;</w:t>
      </w:r>
    </w:p>
    <w:p w:rsidR="00F54890" w:rsidRPr="00B23C1A" w:rsidRDefault="00F54890" w:rsidP="00DC13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иными муниципальными правовыми актами Грачевского муниципального </w:t>
      </w:r>
      <w:r w:rsidR="00BA16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округа</w:t>
      </w:r>
      <w:r w:rsidRPr="00B23C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54890" w:rsidRDefault="00F54890" w:rsidP="00DC13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Дополнительное принятие муниципальных правовых актов для реализации Программы не требуется.</w:t>
      </w:r>
    </w:p>
    <w:p w:rsidR="00D044BA" w:rsidRPr="00B23C1A" w:rsidRDefault="00D044BA" w:rsidP="00DC13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7BF5" w:rsidRDefault="00F54890" w:rsidP="0067703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67703C" w:rsidRPr="00507B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07B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507BF5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сновные параметры потребности в трудовых ресурсах,</w:t>
      </w:r>
      <w:r w:rsidR="00B23C1A" w:rsidRPr="00507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44BA" w:rsidRPr="00507BF5" w:rsidRDefault="00F54890" w:rsidP="0067703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7BF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</w:t>
      </w:r>
      <w:proofErr w:type="gramEnd"/>
      <w:r w:rsidRPr="00507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реализации Программы</w:t>
      </w:r>
    </w:p>
    <w:p w:rsidR="0067703C" w:rsidRPr="00B23C1A" w:rsidRDefault="0067703C" w:rsidP="0067703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585B" w:rsidRDefault="00F54890" w:rsidP="005758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</w:t>
      </w:r>
      <w:r w:rsidR="00B23C1A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муниципальной</w:t>
      </w:r>
      <w:r w:rsidR="00B23C1A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Грачевского муниципального округа Ставропольского края </w:t>
      </w:r>
      <w:r w:rsidRPr="00B23C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«Социальная поддержка граждан в Грачевском муниципальном округе Ставропольского края»</w:t>
      </w:r>
      <w:r w:rsidR="00B23C1A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специалистами</w:t>
      </w:r>
      <w:r w:rsidR="00B23C1A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труда и социальной защиты населения администрации Грачевского муниципального округа</w:t>
      </w:r>
      <w:r w:rsidR="00B23C1A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органов администрации. Потребности в трудовых ресурсах, необходимых для реализации Программы, не имеется.</w:t>
      </w:r>
    </w:p>
    <w:p w:rsidR="0057585B" w:rsidRDefault="0057585B" w:rsidP="005758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BF5" w:rsidRDefault="0057585B" w:rsidP="0067703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F5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67703C" w:rsidRPr="00507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7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источнике информации и методике </w:t>
      </w:r>
      <w:proofErr w:type="gramStart"/>
      <w:r w:rsidRPr="00507B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индикаторов достижения целей Программы</w:t>
      </w:r>
      <w:proofErr w:type="gramEnd"/>
      <w:r w:rsidRPr="00507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показателей решения задач </w:t>
      </w:r>
    </w:p>
    <w:p w:rsidR="0057585B" w:rsidRPr="00507BF5" w:rsidRDefault="0057585B" w:rsidP="0067703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 Программы.</w:t>
      </w:r>
    </w:p>
    <w:p w:rsidR="0057585B" w:rsidRPr="00507BF5" w:rsidRDefault="0057585B" w:rsidP="0067703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4890" w:rsidRPr="00B23C1A" w:rsidRDefault="0057585B" w:rsidP="005758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формах государственного (федерального) статистического наблюдения, о методиках </w:t>
      </w:r>
      <w:proofErr w:type="gramStart"/>
      <w:r w:rsidRPr="005758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значений индикаторов достижения целей</w:t>
      </w:r>
      <w:proofErr w:type="gramEnd"/>
      <w:r w:rsidRPr="0057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(показателей решения задач подпрограмм), утвержденных Правительством Российской Федерации или федеральными органами исполнительной власти, администрацией Грачевского муниципального округа Ставропольского края или ответственным исполнителем Программы (соисполнителем Программы), Программы приведены в приложении 2 к настоящ</w:t>
      </w:r>
      <w:r w:rsidR="003E3E6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7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</w:t>
      </w:r>
      <w:r w:rsidR="003E3E6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57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3E6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</w:t>
      </w:r>
      <w:r w:rsidRPr="005758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4890" w:rsidRPr="00B23C1A" w:rsidRDefault="00F54890" w:rsidP="00B23C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4890" w:rsidRDefault="00F54890" w:rsidP="009E4776">
      <w:pPr>
        <w:widowControl w:val="0"/>
        <w:autoSpaceDE w:val="0"/>
        <w:spacing w:after="0" w:line="240" w:lineRule="auto"/>
        <w:ind w:right="282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</w:pPr>
    </w:p>
    <w:p w:rsidR="009E4776" w:rsidRDefault="009E4776" w:rsidP="009E4776">
      <w:pPr>
        <w:widowControl w:val="0"/>
        <w:autoSpaceDE w:val="0"/>
        <w:spacing w:after="0" w:line="240" w:lineRule="auto"/>
        <w:ind w:right="282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</w:pPr>
    </w:p>
    <w:p w:rsidR="009E4776" w:rsidRDefault="009E4776" w:rsidP="00B63925">
      <w:pPr>
        <w:widowControl w:val="0"/>
        <w:autoSpaceDE w:val="0"/>
        <w:spacing w:after="0" w:line="240" w:lineRule="exact"/>
        <w:ind w:right="282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Начальник управления труда </w:t>
      </w:r>
    </w:p>
    <w:p w:rsidR="009E4776" w:rsidRDefault="009E4776" w:rsidP="00B63925">
      <w:pPr>
        <w:widowControl w:val="0"/>
        <w:autoSpaceDE w:val="0"/>
        <w:spacing w:after="0" w:line="240" w:lineRule="exact"/>
        <w:ind w:right="282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и социальной защиты населения </w:t>
      </w:r>
    </w:p>
    <w:p w:rsidR="009E4776" w:rsidRDefault="009E4776" w:rsidP="00B63925">
      <w:pPr>
        <w:widowControl w:val="0"/>
        <w:autoSpaceDE w:val="0"/>
        <w:spacing w:after="0" w:line="240" w:lineRule="exact"/>
        <w:ind w:right="282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администрации Грачевского </w:t>
      </w:r>
    </w:p>
    <w:p w:rsidR="009E4776" w:rsidRDefault="009E4776" w:rsidP="00B63925">
      <w:pPr>
        <w:widowControl w:val="0"/>
        <w:autoSpaceDE w:val="0"/>
        <w:spacing w:after="0" w:line="240" w:lineRule="exact"/>
        <w:ind w:right="282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муниципального округа </w:t>
      </w:r>
    </w:p>
    <w:p w:rsidR="009E4776" w:rsidRPr="00B23C1A" w:rsidRDefault="009E4776" w:rsidP="00B63925">
      <w:pPr>
        <w:widowControl w:val="0"/>
        <w:tabs>
          <w:tab w:val="left" w:pos="9354"/>
        </w:tabs>
        <w:autoSpaceDE w:val="0"/>
        <w:spacing w:after="0" w:line="240" w:lineRule="exact"/>
        <w:ind w:right="-2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Ставропольского края                                                                       Н.Н.Сорокина</w:t>
      </w:r>
    </w:p>
    <w:p w:rsidR="00F54890" w:rsidRPr="00B23C1A" w:rsidRDefault="00F54890" w:rsidP="00B23C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</w:p>
    <w:p w:rsidR="00F54890" w:rsidRPr="00B23C1A" w:rsidRDefault="00F54890" w:rsidP="00B23C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</w:p>
    <w:p w:rsidR="00F54890" w:rsidRPr="00B23C1A" w:rsidRDefault="00F54890" w:rsidP="00B23C1A">
      <w:pPr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54890" w:rsidRPr="00B23C1A" w:rsidSect="00AF73A7">
          <w:headerReference w:type="default" r:id="rId11"/>
          <w:pgSz w:w="11906" w:h="16838"/>
          <w:pgMar w:top="1134" w:right="567" w:bottom="851" w:left="1985" w:header="709" w:footer="709" w:gutter="0"/>
          <w:cols w:space="708"/>
          <w:titlePg/>
          <w:docGrid w:linePitch="381"/>
        </w:sectPr>
      </w:pPr>
    </w:p>
    <w:p w:rsidR="00FA6EE5" w:rsidRPr="00956298" w:rsidRDefault="008F123B" w:rsidP="003A7283">
      <w:pPr>
        <w:tabs>
          <w:tab w:val="num" w:pos="1980"/>
        </w:tabs>
        <w:spacing w:after="0"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</w:t>
      </w:r>
      <w:r w:rsidR="00FA6EE5" w:rsidRPr="0095629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A6EE5">
        <w:rPr>
          <w:rFonts w:ascii="Times New Roman" w:hAnsi="Times New Roman" w:cs="Times New Roman"/>
          <w:sz w:val="28"/>
          <w:szCs w:val="28"/>
        </w:rPr>
        <w:t>1</w:t>
      </w:r>
    </w:p>
    <w:p w:rsidR="008F123B" w:rsidRDefault="00FA6EE5" w:rsidP="003A7283">
      <w:pPr>
        <w:tabs>
          <w:tab w:val="num" w:pos="1980"/>
          <w:tab w:val="left" w:pos="10490"/>
        </w:tabs>
        <w:spacing w:after="0"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956298">
        <w:rPr>
          <w:rFonts w:ascii="Times New Roman" w:hAnsi="Times New Roman" w:cs="Times New Roman"/>
          <w:sz w:val="28"/>
          <w:szCs w:val="28"/>
        </w:rPr>
        <w:t xml:space="preserve">к дополнительным документам, предоставляемым вместе с муниципальной программой Грачевского муниципального округа Ставропольского края «Социальная поддержка граждан </w:t>
      </w:r>
    </w:p>
    <w:p w:rsidR="00FA6EE5" w:rsidRPr="00956298" w:rsidRDefault="00FA6EE5" w:rsidP="003A7283">
      <w:pPr>
        <w:tabs>
          <w:tab w:val="num" w:pos="1980"/>
          <w:tab w:val="left" w:pos="10490"/>
        </w:tabs>
        <w:spacing w:after="0"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956298">
        <w:rPr>
          <w:rFonts w:ascii="Times New Roman" w:hAnsi="Times New Roman" w:cs="Times New Roman"/>
          <w:sz w:val="28"/>
          <w:szCs w:val="28"/>
        </w:rPr>
        <w:t>в Грачевском муниципальном округе Ставропольского</w:t>
      </w:r>
      <w:r>
        <w:rPr>
          <w:rFonts w:ascii="Times New Roman" w:hAnsi="Times New Roman" w:cs="Times New Roman"/>
          <w:sz w:val="28"/>
          <w:szCs w:val="28"/>
        </w:rPr>
        <w:t xml:space="preserve"> края»</w:t>
      </w:r>
    </w:p>
    <w:p w:rsidR="00FA6EE5" w:rsidRPr="00956298" w:rsidRDefault="00FA6EE5" w:rsidP="00FA6EE5">
      <w:pPr>
        <w:tabs>
          <w:tab w:val="num" w:pos="1980"/>
        </w:tabs>
        <w:spacing w:after="0" w:line="240" w:lineRule="auto"/>
        <w:ind w:left="7788"/>
        <w:jc w:val="both"/>
        <w:rPr>
          <w:rFonts w:ascii="Times New Roman" w:hAnsi="Times New Roman" w:cs="Times New Roman"/>
          <w:sz w:val="28"/>
          <w:szCs w:val="28"/>
        </w:rPr>
      </w:pPr>
    </w:p>
    <w:p w:rsidR="00FA6EE5" w:rsidRDefault="00FA6EE5" w:rsidP="00FA6EE5">
      <w:pPr>
        <w:tabs>
          <w:tab w:val="num" w:pos="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6EE5" w:rsidRPr="00956298" w:rsidRDefault="00FA6EE5" w:rsidP="00FA6EE5">
      <w:pPr>
        <w:tabs>
          <w:tab w:val="num" w:pos="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6EE5" w:rsidRPr="00956298" w:rsidRDefault="00FA6EE5" w:rsidP="00FA6EE5">
      <w:pPr>
        <w:tabs>
          <w:tab w:val="num" w:pos="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</w:t>
      </w:r>
    </w:p>
    <w:p w:rsidR="00FA6EE5" w:rsidRPr="00956298" w:rsidRDefault="00FA6EE5" w:rsidP="00FA6EE5">
      <w:pPr>
        <w:tabs>
          <w:tab w:val="num" w:pos="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6298">
        <w:rPr>
          <w:rFonts w:ascii="Times New Roman" w:hAnsi="Times New Roman" w:cs="Times New Roman"/>
          <w:sz w:val="28"/>
          <w:szCs w:val="28"/>
        </w:rPr>
        <w:t>планируемых объемов ресурсов на реализацию муниципальной программой</w:t>
      </w:r>
    </w:p>
    <w:p w:rsidR="00FA6EE5" w:rsidRPr="003A10D2" w:rsidRDefault="00FA6EE5" w:rsidP="00FA6EE5">
      <w:pPr>
        <w:tabs>
          <w:tab w:val="num" w:pos="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6298">
        <w:rPr>
          <w:rFonts w:ascii="Times New Roman" w:hAnsi="Times New Roman" w:cs="Times New Roman"/>
          <w:sz w:val="28"/>
          <w:szCs w:val="28"/>
        </w:rPr>
        <w:t>Грачевского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Pr="003A10D2"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 в Грачевском </w:t>
      </w:r>
    </w:p>
    <w:p w:rsidR="00FA6EE5" w:rsidRPr="00956298" w:rsidRDefault="00FA6EE5" w:rsidP="00FA6EE5">
      <w:pPr>
        <w:tabs>
          <w:tab w:val="num" w:pos="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A10D2">
        <w:rPr>
          <w:rFonts w:ascii="Times New Roman" w:hAnsi="Times New Roman" w:cs="Times New Roman"/>
          <w:sz w:val="28"/>
          <w:szCs w:val="28"/>
        </w:rPr>
        <w:t xml:space="preserve">муниципальном округе </w:t>
      </w:r>
      <w:r w:rsidRPr="00956298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56298">
        <w:rPr>
          <w:rFonts w:ascii="Times New Roman" w:hAnsi="Times New Roman" w:cs="Times New Roman"/>
          <w:sz w:val="28"/>
          <w:szCs w:val="28"/>
        </w:rPr>
        <w:t xml:space="preserve"> (подпрограмм Программы)</w:t>
      </w:r>
      <w:proofErr w:type="gramEnd"/>
    </w:p>
    <w:p w:rsidR="00FA6EE5" w:rsidRPr="00956298" w:rsidRDefault="00FA6EE5" w:rsidP="00FA6EE5">
      <w:pPr>
        <w:tabs>
          <w:tab w:val="num" w:pos="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6EE5" w:rsidRPr="00956298" w:rsidRDefault="00FA6EE5" w:rsidP="00FA6EE5">
      <w:pPr>
        <w:tabs>
          <w:tab w:val="num" w:pos="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"/>
        <w:gridCol w:w="17"/>
        <w:gridCol w:w="3384"/>
        <w:gridCol w:w="12"/>
        <w:gridCol w:w="5393"/>
        <w:gridCol w:w="4820"/>
      </w:tblGrid>
      <w:tr w:rsidR="00FA6EE5" w:rsidRPr="00956298" w:rsidTr="00D044BA">
        <w:trPr>
          <w:trHeight w:val="1321"/>
        </w:trPr>
        <w:tc>
          <w:tcPr>
            <w:tcW w:w="708" w:type="dxa"/>
            <w:gridSpan w:val="2"/>
            <w:shd w:val="clear" w:color="auto" w:fill="auto"/>
            <w:vAlign w:val="center"/>
          </w:tcPr>
          <w:p w:rsidR="00FA6EE5" w:rsidRPr="00956298" w:rsidRDefault="00FA6EE5" w:rsidP="000E119D">
            <w:pPr>
              <w:tabs>
                <w:tab w:val="num" w:pos="19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</w:pPr>
            <w:r w:rsidRPr="00956298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>№</w:t>
            </w:r>
          </w:p>
          <w:p w:rsidR="00FA6EE5" w:rsidRPr="00956298" w:rsidRDefault="00FA6EE5" w:rsidP="000E119D">
            <w:pPr>
              <w:tabs>
                <w:tab w:val="num" w:pos="19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</w:pPr>
            <w:r w:rsidRPr="00956298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>п/п</w:t>
            </w:r>
          </w:p>
        </w:tc>
        <w:tc>
          <w:tcPr>
            <w:tcW w:w="3384" w:type="dxa"/>
            <w:shd w:val="clear" w:color="auto" w:fill="auto"/>
            <w:vAlign w:val="center"/>
          </w:tcPr>
          <w:p w:rsidR="00FA6EE5" w:rsidRPr="00956298" w:rsidRDefault="00FA6EE5" w:rsidP="000E119D">
            <w:pPr>
              <w:tabs>
                <w:tab w:val="left" w:pos="5400"/>
                <w:tab w:val="left" w:pos="7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298">
              <w:rPr>
                <w:rFonts w:ascii="Times New Roman" w:hAnsi="Times New Roman" w:cs="Times New Roman"/>
                <w:sz w:val="28"/>
                <w:szCs w:val="28"/>
              </w:rPr>
              <w:t>Наименование основного мероприятия подпрограммы Программы</w:t>
            </w:r>
          </w:p>
        </w:tc>
        <w:tc>
          <w:tcPr>
            <w:tcW w:w="5405" w:type="dxa"/>
            <w:gridSpan w:val="2"/>
            <w:shd w:val="clear" w:color="auto" w:fill="auto"/>
            <w:vAlign w:val="center"/>
          </w:tcPr>
          <w:p w:rsidR="00FA6EE5" w:rsidRPr="00956298" w:rsidRDefault="00FA6EE5" w:rsidP="000E119D">
            <w:pPr>
              <w:tabs>
                <w:tab w:val="num" w:pos="19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</w:pPr>
            <w:r w:rsidRPr="00956298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Обоснование планируемых ресурсов </w:t>
            </w:r>
            <w:proofErr w:type="gramStart"/>
            <w:r w:rsidRPr="00956298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>с</w:t>
            </w:r>
            <w:proofErr w:type="gramEnd"/>
            <w:r w:rsidRPr="00956298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</w:p>
          <w:p w:rsidR="00FA6EE5" w:rsidRPr="00956298" w:rsidRDefault="00FA6EE5" w:rsidP="000E119D">
            <w:pPr>
              <w:tabs>
                <w:tab w:val="num" w:pos="19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</w:pPr>
            <w:r w:rsidRPr="00956298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учетом </w:t>
            </w:r>
            <w:proofErr w:type="gramStart"/>
            <w:r w:rsidRPr="00956298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>прогнозируемого</w:t>
            </w:r>
            <w:proofErr w:type="gramEnd"/>
            <w:r w:rsidRPr="00956298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уровня инфляции и иных факторов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A6EE5" w:rsidRPr="00956298" w:rsidRDefault="00FA6EE5" w:rsidP="000E119D">
            <w:pPr>
              <w:tabs>
                <w:tab w:val="num" w:pos="19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</w:pPr>
            <w:r w:rsidRPr="00956298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>Объемы средств бюджета Грачевского муниципального округа Ставропольского края (далее – местный бюджет)</w:t>
            </w:r>
          </w:p>
        </w:tc>
      </w:tr>
      <w:tr w:rsidR="00FA6EE5" w:rsidRPr="00956298" w:rsidTr="00D044BA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708" w:type="dxa"/>
            <w:gridSpan w:val="2"/>
            <w:shd w:val="clear" w:color="auto" w:fill="auto"/>
          </w:tcPr>
          <w:p w:rsidR="00FA6EE5" w:rsidRPr="00956298" w:rsidRDefault="00FA6EE5" w:rsidP="000E119D">
            <w:pPr>
              <w:tabs>
                <w:tab w:val="num" w:pos="19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  <w:lang w:val="en-US"/>
              </w:rPr>
            </w:pPr>
            <w:r w:rsidRPr="00956298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  <w:lang w:val="en-US"/>
              </w:rPr>
              <w:t>1</w:t>
            </w:r>
          </w:p>
        </w:tc>
        <w:tc>
          <w:tcPr>
            <w:tcW w:w="3384" w:type="dxa"/>
            <w:shd w:val="clear" w:color="auto" w:fill="auto"/>
          </w:tcPr>
          <w:p w:rsidR="00FA6EE5" w:rsidRPr="00956298" w:rsidRDefault="00FA6EE5" w:rsidP="000E119D">
            <w:pPr>
              <w:tabs>
                <w:tab w:val="num" w:pos="19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  <w:lang w:val="en-US"/>
              </w:rPr>
            </w:pPr>
            <w:r w:rsidRPr="00956298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  <w:lang w:val="en-US"/>
              </w:rPr>
              <w:t>2</w:t>
            </w:r>
          </w:p>
        </w:tc>
        <w:tc>
          <w:tcPr>
            <w:tcW w:w="5405" w:type="dxa"/>
            <w:gridSpan w:val="2"/>
            <w:shd w:val="clear" w:color="auto" w:fill="auto"/>
          </w:tcPr>
          <w:p w:rsidR="00FA6EE5" w:rsidRPr="00956298" w:rsidRDefault="00FA6EE5" w:rsidP="000E119D">
            <w:pPr>
              <w:tabs>
                <w:tab w:val="num" w:pos="19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  <w:lang w:val="en-US"/>
              </w:rPr>
            </w:pPr>
            <w:r w:rsidRPr="00956298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  <w:lang w:val="en-US"/>
              </w:rPr>
              <w:t>3</w:t>
            </w:r>
          </w:p>
        </w:tc>
        <w:tc>
          <w:tcPr>
            <w:tcW w:w="4820" w:type="dxa"/>
            <w:shd w:val="clear" w:color="auto" w:fill="auto"/>
          </w:tcPr>
          <w:p w:rsidR="00FA6EE5" w:rsidRPr="00956298" w:rsidRDefault="00FA6EE5" w:rsidP="000E119D">
            <w:pPr>
              <w:tabs>
                <w:tab w:val="num" w:pos="19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  <w:lang w:val="en-US"/>
              </w:rPr>
            </w:pPr>
            <w:r w:rsidRPr="00956298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  <w:lang w:val="en-US"/>
              </w:rPr>
              <w:t>4</w:t>
            </w:r>
          </w:p>
        </w:tc>
      </w:tr>
      <w:tr w:rsidR="00FA6EE5" w:rsidRPr="00956298" w:rsidTr="00D044BA">
        <w:tblPrEx>
          <w:tblBorders>
            <w:bottom w:val="single" w:sz="4" w:space="0" w:color="auto"/>
          </w:tblBorders>
        </w:tblPrEx>
        <w:tc>
          <w:tcPr>
            <w:tcW w:w="14317" w:type="dxa"/>
            <w:gridSpan w:val="6"/>
            <w:shd w:val="clear" w:color="auto" w:fill="auto"/>
          </w:tcPr>
          <w:p w:rsidR="00FA6EE5" w:rsidRPr="00956298" w:rsidRDefault="00FA6EE5" w:rsidP="000E119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56298">
              <w:rPr>
                <w:rFonts w:ascii="Times New Roman" w:hAnsi="Times New Roman" w:cs="Times New Roman"/>
                <w:sz w:val="28"/>
                <w:szCs w:val="28"/>
              </w:rPr>
              <w:t xml:space="preserve">Объем средств местного бюджета определен исходя из предельных объемов бюджетных ассигнований на 2020 год и плановый период 2021 и 2022 годов, доведенных финансовым управлением администрации Грачевского муниципального округа Ставропольского края на муниципальную программу Грачевского муниципального округа Ставропольского края </w:t>
            </w:r>
            <w:r w:rsidRPr="003A10D2">
              <w:rPr>
                <w:rFonts w:ascii="Times New Roman" w:hAnsi="Times New Roman" w:cs="Times New Roman"/>
                <w:sz w:val="28"/>
                <w:szCs w:val="28"/>
              </w:rPr>
              <w:t xml:space="preserve">«Социальная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поддержка граждан в Грачевском  </w:t>
            </w:r>
            <w:r w:rsidRPr="003A10D2">
              <w:rPr>
                <w:rFonts w:ascii="Times New Roman" w:hAnsi="Times New Roman" w:cs="Times New Roman"/>
                <w:sz w:val="28"/>
                <w:szCs w:val="28"/>
              </w:rPr>
              <w:t>муниципальном округе Ставропольского края»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 также плановый период до 2026 года</w:t>
            </w:r>
            <w:proofErr w:type="gramEnd"/>
          </w:p>
        </w:tc>
      </w:tr>
      <w:tr w:rsidR="00FA6EE5" w:rsidRPr="00956298" w:rsidTr="00D044BA">
        <w:tblPrEx>
          <w:tblBorders>
            <w:bottom w:val="single" w:sz="4" w:space="0" w:color="auto"/>
          </w:tblBorders>
        </w:tblPrEx>
        <w:trPr>
          <w:trHeight w:val="1125"/>
        </w:trPr>
        <w:tc>
          <w:tcPr>
            <w:tcW w:w="14317" w:type="dxa"/>
            <w:gridSpan w:val="6"/>
            <w:shd w:val="clear" w:color="auto" w:fill="auto"/>
          </w:tcPr>
          <w:p w:rsidR="00FA6EE5" w:rsidRPr="00956298" w:rsidRDefault="00FA6EE5" w:rsidP="000E119D">
            <w:pPr>
              <w:pStyle w:val="ConsPlusDocList"/>
              <w:ind w:right="2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32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«</w:t>
            </w:r>
            <w:proofErr w:type="gramStart"/>
            <w:r w:rsidRPr="00610322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Социальное</w:t>
            </w:r>
            <w:proofErr w:type="gramEnd"/>
            <w:r w:rsidRPr="0061032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обеспечение населения Грачевского муниципального округа Ставропольского края» муниципальной программы Грачевского муниципального округа Ставропольского края «Социальная поддержка граждан в Грачевском муниципальном округе Ставропольского края»</w:t>
            </w:r>
          </w:p>
        </w:tc>
      </w:tr>
      <w:tr w:rsidR="009118FD" w:rsidRPr="00956298" w:rsidTr="00D044BA">
        <w:tblPrEx>
          <w:tblBorders>
            <w:bottom w:val="single" w:sz="4" w:space="0" w:color="auto"/>
          </w:tblBorders>
        </w:tblPrEx>
        <w:trPr>
          <w:trHeight w:val="404"/>
        </w:trPr>
        <w:tc>
          <w:tcPr>
            <w:tcW w:w="708" w:type="dxa"/>
            <w:gridSpan w:val="2"/>
            <w:shd w:val="clear" w:color="auto" w:fill="auto"/>
          </w:tcPr>
          <w:p w:rsidR="009118FD" w:rsidRPr="00610322" w:rsidRDefault="009118FD" w:rsidP="009118FD">
            <w:pPr>
              <w:autoSpaceDE w:val="0"/>
              <w:autoSpaceDN w:val="0"/>
              <w:adjustRightInd w:val="0"/>
              <w:spacing w:after="0" w:line="240" w:lineRule="auto"/>
              <w:ind w:right="-109"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3396" w:type="dxa"/>
            <w:gridSpan w:val="2"/>
            <w:shd w:val="clear" w:color="auto" w:fill="auto"/>
          </w:tcPr>
          <w:p w:rsidR="009118FD" w:rsidRDefault="009118FD" w:rsidP="009118F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118FD" w:rsidRPr="00610322" w:rsidRDefault="009118FD" w:rsidP="009118F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393" w:type="dxa"/>
            <w:shd w:val="clear" w:color="auto" w:fill="auto"/>
          </w:tcPr>
          <w:p w:rsidR="009118FD" w:rsidRDefault="009118FD" w:rsidP="009118F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118FD" w:rsidRPr="00610322" w:rsidRDefault="009118FD" w:rsidP="009118F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820" w:type="dxa"/>
            <w:shd w:val="clear" w:color="auto" w:fill="auto"/>
          </w:tcPr>
          <w:p w:rsidR="009118FD" w:rsidRDefault="009118FD" w:rsidP="009118F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118FD" w:rsidRPr="00610322" w:rsidRDefault="009118FD" w:rsidP="009118F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FA6EE5" w:rsidRPr="00956298" w:rsidTr="00D044BA">
        <w:tblPrEx>
          <w:tblBorders>
            <w:bottom w:val="single" w:sz="4" w:space="0" w:color="auto"/>
          </w:tblBorders>
        </w:tblPrEx>
        <w:tc>
          <w:tcPr>
            <w:tcW w:w="708" w:type="dxa"/>
            <w:gridSpan w:val="2"/>
            <w:shd w:val="clear" w:color="auto" w:fill="auto"/>
          </w:tcPr>
          <w:p w:rsidR="00FA6EE5" w:rsidRPr="00610322" w:rsidRDefault="00FA6EE5" w:rsidP="000E119D">
            <w:pPr>
              <w:pStyle w:val="ConsPlusDocList"/>
              <w:suppressAutoHyphens w:val="0"/>
              <w:ind w:right="28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3384" w:type="dxa"/>
            <w:shd w:val="clear" w:color="auto" w:fill="auto"/>
          </w:tcPr>
          <w:p w:rsidR="00FA6EE5" w:rsidRPr="00610322" w:rsidRDefault="00FA6EE5" w:rsidP="000E119D">
            <w:pPr>
              <w:pStyle w:val="ConsPlusDocList"/>
              <w:suppressAutoHyphens w:val="0"/>
              <w:ind w:right="-6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524B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proofErr w:type="gramStart"/>
            <w:r w:rsidRPr="000A524B">
              <w:rPr>
                <w:rFonts w:ascii="Times New Roman" w:hAnsi="Times New Roman" w:cs="Times New Roman"/>
                <w:sz w:val="28"/>
                <w:szCs w:val="28"/>
              </w:rPr>
              <w:t>финансовой</w:t>
            </w:r>
            <w:proofErr w:type="gramEnd"/>
            <w:r w:rsidRPr="000A524B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поддержки социально ориентированным некоммерческим органи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зациям</w:t>
            </w:r>
          </w:p>
        </w:tc>
        <w:tc>
          <w:tcPr>
            <w:tcW w:w="5405" w:type="dxa"/>
            <w:gridSpan w:val="2"/>
            <w:shd w:val="clear" w:color="auto" w:fill="auto"/>
          </w:tcPr>
          <w:p w:rsidR="00FA6EE5" w:rsidRPr="00526DFB" w:rsidRDefault="00FA6EE5" w:rsidP="000E119D">
            <w:pPr>
              <w:pStyle w:val="ConsPlusDocList"/>
              <w:suppressAutoHyphens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целях </w:t>
            </w:r>
            <w:r w:rsidRPr="00526DFB">
              <w:rPr>
                <w:rFonts w:ascii="Times New Roman" w:hAnsi="Times New Roman" w:cs="Times New Roman"/>
                <w:sz w:val="28"/>
                <w:szCs w:val="28"/>
              </w:rPr>
              <w:t>предоставлени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26DFB">
              <w:rPr>
                <w:rFonts w:ascii="Times New Roman" w:hAnsi="Times New Roman" w:cs="Times New Roman"/>
                <w:sz w:val="28"/>
                <w:szCs w:val="28"/>
              </w:rPr>
              <w:t xml:space="preserve"> на конкурсной основе средств местного бюджета социально ориентированным некоммерческим организациям района на реализацию конкурсных социальных проектов и мероприятий, в рамках осуществления их уставной деятельности</w:t>
            </w:r>
          </w:p>
        </w:tc>
        <w:tc>
          <w:tcPr>
            <w:tcW w:w="4820" w:type="dxa"/>
            <w:shd w:val="clear" w:color="auto" w:fill="auto"/>
          </w:tcPr>
          <w:p w:rsidR="00FA6EE5" w:rsidRDefault="00FA6EE5" w:rsidP="000E119D">
            <w:pPr>
              <w:pStyle w:val="ConsPlusDocList"/>
              <w:tabs>
                <w:tab w:val="left" w:pos="4718"/>
              </w:tabs>
              <w:suppressAutoHyphens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2021г. - </w:t>
            </w:r>
            <w:r w:rsidR="00E10FC6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0,0 тыс. руб.</w:t>
            </w:r>
          </w:p>
          <w:p w:rsidR="00FA6EE5" w:rsidRDefault="00FA6EE5" w:rsidP="000E119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hi-IN" w:bidi="hi-IN"/>
              </w:rPr>
              <w:t xml:space="preserve">2022г. - </w:t>
            </w:r>
            <w:r w:rsidR="00E10FC6">
              <w:rPr>
                <w:rFonts w:ascii="Times New Roman" w:hAnsi="Times New Roman" w:cs="Times New Roman"/>
                <w:sz w:val="28"/>
                <w:szCs w:val="28"/>
                <w:lang w:eastAsia="hi-IN" w:bidi="hi-IN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eastAsia="hi-IN" w:bidi="hi-IN"/>
              </w:rPr>
              <w:t>0,0 тыс. руб.</w:t>
            </w:r>
          </w:p>
          <w:p w:rsidR="00FA6EE5" w:rsidRDefault="00FA6EE5" w:rsidP="000E119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hi-IN" w:bidi="hi-IN"/>
              </w:rPr>
              <w:t xml:space="preserve">2023г. - </w:t>
            </w:r>
            <w:r w:rsidR="00E10FC6">
              <w:rPr>
                <w:rFonts w:ascii="Times New Roman" w:hAnsi="Times New Roman" w:cs="Times New Roman"/>
                <w:sz w:val="28"/>
                <w:szCs w:val="28"/>
                <w:lang w:eastAsia="hi-IN" w:bidi="hi-IN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eastAsia="hi-IN" w:bidi="hi-IN"/>
              </w:rPr>
              <w:t>0,0 тыс. руб.</w:t>
            </w:r>
          </w:p>
          <w:p w:rsidR="00FA6EE5" w:rsidRDefault="00FA6EE5" w:rsidP="000E119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hi-IN" w:bidi="hi-IN"/>
              </w:rPr>
              <w:t xml:space="preserve">2024г. - </w:t>
            </w:r>
            <w:r w:rsidR="00E10FC6">
              <w:rPr>
                <w:rFonts w:ascii="Times New Roman" w:hAnsi="Times New Roman" w:cs="Times New Roman"/>
                <w:sz w:val="28"/>
                <w:szCs w:val="28"/>
                <w:lang w:eastAsia="hi-IN" w:bidi="hi-IN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eastAsia="hi-IN" w:bidi="hi-IN"/>
              </w:rPr>
              <w:t>0,0 тыс. руб.</w:t>
            </w:r>
          </w:p>
          <w:p w:rsidR="00FA6EE5" w:rsidRDefault="00FA6EE5" w:rsidP="000E119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hi-IN" w:bidi="hi-IN"/>
              </w:rPr>
              <w:t>2025г. - 50,0 тыс. руб.</w:t>
            </w:r>
          </w:p>
          <w:p w:rsidR="00FA6EE5" w:rsidRPr="00526DFB" w:rsidRDefault="00FA6EE5" w:rsidP="000E119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hi-IN" w:bidi="hi-IN"/>
              </w:rPr>
              <w:t>2026г. - 50,0 тыс. руб.</w:t>
            </w:r>
          </w:p>
        </w:tc>
      </w:tr>
      <w:tr w:rsidR="00FA6EE5" w:rsidRPr="00956298" w:rsidTr="00D044BA">
        <w:tblPrEx>
          <w:tblBorders>
            <w:bottom w:val="single" w:sz="4" w:space="0" w:color="auto"/>
          </w:tblBorders>
        </w:tblPrEx>
        <w:tc>
          <w:tcPr>
            <w:tcW w:w="14317" w:type="dxa"/>
            <w:gridSpan w:val="6"/>
            <w:shd w:val="clear" w:color="auto" w:fill="auto"/>
          </w:tcPr>
          <w:p w:rsidR="00FA6EE5" w:rsidRPr="00B53CFF" w:rsidRDefault="00FA6EE5" w:rsidP="000E11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3CFF">
              <w:rPr>
                <w:rFonts w:ascii="Times New Roman" w:hAnsi="Times New Roman" w:cs="Times New Roman"/>
                <w:sz w:val="28"/>
                <w:szCs w:val="28"/>
              </w:rPr>
              <w:t>«Доступная среда в Грачевском муниципальном округе Ставропольского края»</w:t>
            </w:r>
            <w:r w:rsidRPr="00B53CF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муниципальной</w:t>
            </w:r>
          </w:p>
          <w:p w:rsidR="00FA6EE5" w:rsidRPr="00B53CFF" w:rsidRDefault="00FA6EE5" w:rsidP="000E11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3CF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программы Грачевского муниципального округа «Социальная поддержка граждан в Грачевском </w:t>
            </w:r>
            <w:proofErr w:type="gramStart"/>
            <w:r w:rsidRPr="00B53CFF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муниципальном</w:t>
            </w:r>
            <w:proofErr w:type="gramEnd"/>
          </w:p>
          <w:p w:rsidR="00FA6EE5" w:rsidRPr="00956298" w:rsidRDefault="00FA6EE5" w:rsidP="000E119D">
            <w:pPr>
              <w:tabs>
                <w:tab w:val="num" w:pos="19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CFF">
              <w:rPr>
                <w:rFonts w:ascii="Times New Roman" w:hAnsi="Times New Roman" w:cs="Times New Roman"/>
                <w:bCs/>
                <w:sz w:val="28"/>
                <w:szCs w:val="28"/>
              </w:rPr>
              <w:t>округе Ставропольского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кра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я»</w:t>
            </w:r>
          </w:p>
        </w:tc>
      </w:tr>
      <w:tr w:rsidR="00FA6EE5" w:rsidRPr="00956298" w:rsidTr="00D044BA">
        <w:tblPrEx>
          <w:tblBorders>
            <w:bottom w:val="single" w:sz="4" w:space="0" w:color="auto"/>
          </w:tblBorders>
        </w:tblPrEx>
        <w:trPr>
          <w:trHeight w:val="424"/>
        </w:trPr>
        <w:tc>
          <w:tcPr>
            <w:tcW w:w="691" w:type="dxa"/>
            <w:shd w:val="clear" w:color="auto" w:fill="auto"/>
          </w:tcPr>
          <w:p w:rsidR="00FA6EE5" w:rsidRPr="00956298" w:rsidRDefault="00FA6EE5" w:rsidP="000E119D">
            <w:pPr>
              <w:tabs>
                <w:tab w:val="num" w:pos="19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</w:pPr>
            <w:r w:rsidRPr="00956298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>1.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FA6EE5" w:rsidRPr="00956298" w:rsidRDefault="00FA6EE5" w:rsidP="000E119D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</w:pPr>
            <w:r w:rsidRPr="00956298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Основное мероприятие </w:t>
            </w:r>
            <w:r w:rsidRPr="00B53CFF">
              <w:rPr>
                <w:rFonts w:ascii="Times New Roman" w:hAnsi="Times New Roman" w:cs="Times New Roman"/>
                <w:sz w:val="28"/>
                <w:szCs w:val="28"/>
              </w:rPr>
              <w:t xml:space="preserve">«Проведение мероприятий по созданию </w:t>
            </w:r>
            <w:proofErr w:type="gramStart"/>
            <w:r w:rsidRPr="00B53CFF">
              <w:rPr>
                <w:rFonts w:ascii="Times New Roman" w:hAnsi="Times New Roman" w:cs="Times New Roman"/>
                <w:sz w:val="28"/>
                <w:szCs w:val="28"/>
              </w:rPr>
              <w:t>доступной</w:t>
            </w:r>
            <w:proofErr w:type="gramEnd"/>
            <w:r w:rsidRPr="00B53CFF">
              <w:rPr>
                <w:rFonts w:ascii="Times New Roman" w:hAnsi="Times New Roman" w:cs="Times New Roman"/>
                <w:sz w:val="28"/>
                <w:szCs w:val="28"/>
              </w:rPr>
              <w:t xml:space="preserve">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края»</w:t>
            </w:r>
          </w:p>
        </w:tc>
        <w:tc>
          <w:tcPr>
            <w:tcW w:w="5405" w:type="dxa"/>
            <w:gridSpan w:val="2"/>
            <w:shd w:val="clear" w:color="auto" w:fill="auto"/>
          </w:tcPr>
          <w:p w:rsidR="00FA6EE5" w:rsidRPr="009118FD" w:rsidRDefault="00FA6EE5" w:rsidP="000E119D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proofErr w:type="gramStart"/>
            <w:r w:rsidRPr="0031191E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в целях </w:t>
            </w:r>
            <w:r w:rsidRPr="0031191E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преодоления социальной изоляции и включения инвалидов, детей-инвалидов и других маломобильных групп населения района в жизнь общества, в том числе участие их в совместных с другими гражданами образовательных, досуговых, культурных, спортивных мероприятиях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осуществление </w:t>
            </w:r>
            <w:r w:rsidRPr="0031191E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модернизаци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и</w:t>
            </w:r>
            <w:r w:rsidRPr="0031191E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, дооборудовани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я</w:t>
            </w:r>
            <w:r w:rsidRPr="0031191E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существующих объектов образовательных учреждений с учетом потребностей маломобильных групп населения (пандусы, поручни, приобретение и </w:t>
            </w:r>
            <w:r w:rsidRPr="0031191E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 xml:space="preserve">установка информационных табличек с рельефно-точечным шрифтом Брайля и другие мероприятия) </w:t>
            </w:r>
            <w:proofErr w:type="gramEnd"/>
          </w:p>
        </w:tc>
        <w:tc>
          <w:tcPr>
            <w:tcW w:w="4820" w:type="dxa"/>
            <w:shd w:val="clear" w:color="auto" w:fill="auto"/>
          </w:tcPr>
          <w:p w:rsidR="00FA6EE5" w:rsidRDefault="00FA6EE5" w:rsidP="000E119D">
            <w:pPr>
              <w:autoSpaceDE w:val="0"/>
              <w:autoSpaceDN w:val="0"/>
              <w:adjustRightInd w:val="0"/>
              <w:spacing w:after="0" w:line="240" w:lineRule="auto"/>
              <w:ind w:hanging="45"/>
              <w:jc w:val="both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lastRenderedPageBreak/>
              <w:t>2021 г. - 300,0 тыс. руб.</w:t>
            </w:r>
          </w:p>
          <w:p w:rsidR="00FA6EE5" w:rsidRDefault="00FA6EE5" w:rsidP="000E119D">
            <w:pPr>
              <w:autoSpaceDE w:val="0"/>
              <w:autoSpaceDN w:val="0"/>
              <w:adjustRightInd w:val="0"/>
              <w:spacing w:after="0" w:line="240" w:lineRule="auto"/>
              <w:ind w:hanging="45"/>
              <w:jc w:val="both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>2022 г. - 300,0 тыс. руб.</w:t>
            </w:r>
          </w:p>
          <w:p w:rsidR="00E10FC6" w:rsidRDefault="00FA6EE5" w:rsidP="00E10FC6">
            <w:pPr>
              <w:autoSpaceDE w:val="0"/>
              <w:autoSpaceDN w:val="0"/>
              <w:adjustRightInd w:val="0"/>
              <w:spacing w:after="0" w:line="240" w:lineRule="auto"/>
              <w:ind w:hanging="45"/>
              <w:jc w:val="both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>2023 г. - 300,0 тыс. руб.</w:t>
            </w:r>
            <w:r w:rsidR="00E10FC6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</w:p>
          <w:p w:rsidR="00E10FC6" w:rsidRDefault="00E10FC6" w:rsidP="00E10FC6">
            <w:pPr>
              <w:autoSpaceDE w:val="0"/>
              <w:autoSpaceDN w:val="0"/>
              <w:adjustRightInd w:val="0"/>
              <w:spacing w:after="0" w:line="240" w:lineRule="auto"/>
              <w:ind w:hanging="45"/>
              <w:jc w:val="both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>2024 г. – 300,0 тыс. руб.</w:t>
            </w:r>
          </w:p>
          <w:p w:rsidR="00FA6EE5" w:rsidRPr="00956298" w:rsidRDefault="00FA6EE5" w:rsidP="000E119D">
            <w:pPr>
              <w:autoSpaceDE w:val="0"/>
              <w:autoSpaceDN w:val="0"/>
              <w:adjustRightInd w:val="0"/>
              <w:spacing w:after="0" w:line="240" w:lineRule="auto"/>
              <w:ind w:hanging="45"/>
              <w:jc w:val="both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</w:pPr>
          </w:p>
        </w:tc>
      </w:tr>
      <w:tr w:rsidR="009118FD" w:rsidRPr="00956298" w:rsidTr="00D044BA">
        <w:tblPrEx>
          <w:tblBorders>
            <w:bottom w:val="single" w:sz="4" w:space="0" w:color="auto"/>
          </w:tblBorders>
        </w:tblPrEx>
        <w:trPr>
          <w:trHeight w:val="424"/>
        </w:trPr>
        <w:tc>
          <w:tcPr>
            <w:tcW w:w="691" w:type="dxa"/>
            <w:shd w:val="clear" w:color="auto" w:fill="auto"/>
          </w:tcPr>
          <w:p w:rsidR="009118FD" w:rsidRPr="00956298" w:rsidRDefault="009118FD" w:rsidP="009118FD">
            <w:pPr>
              <w:tabs>
                <w:tab w:val="num" w:pos="19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lastRenderedPageBreak/>
              <w:t>1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9118FD" w:rsidRPr="00956298" w:rsidRDefault="009118FD" w:rsidP="009118FD">
            <w:pPr>
              <w:tabs>
                <w:tab w:val="num" w:pos="19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>2</w:t>
            </w:r>
          </w:p>
        </w:tc>
        <w:tc>
          <w:tcPr>
            <w:tcW w:w="5405" w:type="dxa"/>
            <w:gridSpan w:val="2"/>
            <w:shd w:val="clear" w:color="auto" w:fill="auto"/>
          </w:tcPr>
          <w:p w:rsidR="009118FD" w:rsidRPr="0031191E" w:rsidRDefault="009118FD" w:rsidP="009118FD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4820" w:type="dxa"/>
            <w:shd w:val="clear" w:color="auto" w:fill="auto"/>
          </w:tcPr>
          <w:p w:rsidR="009118FD" w:rsidRDefault="009118FD" w:rsidP="009118FD">
            <w:pPr>
              <w:autoSpaceDE w:val="0"/>
              <w:autoSpaceDN w:val="0"/>
              <w:adjustRightInd w:val="0"/>
              <w:spacing w:after="0" w:line="240" w:lineRule="auto"/>
              <w:ind w:hanging="45"/>
              <w:jc w:val="center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>4</w:t>
            </w:r>
          </w:p>
        </w:tc>
      </w:tr>
      <w:tr w:rsidR="00FA6EE5" w:rsidRPr="00956298" w:rsidTr="00D044BA">
        <w:tblPrEx>
          <w:tblBorders>
            <w:bottom w:val="single" w:sz="4" w:space="0" w:color="auto"/>
          </w:tblBorders>
        </w:tblPrEx>
        <w:trPr>
          <w:trHeight w:val="364"/>
        </w:trPr>
        <w:tc>
          <w:tcPr>
            <w:tcW w:w="691" w:type="dxa"/>
            <w:shd w:val="clear" w:color="auto" w:fill="auto"/>
          </w:tcPr>
          <w:p w:rsidR="00FA6EE5" w:rsidRPr="00956298" w:rsidRDefault="00FA6EE5" w:rsidP="000E119D">
            <w:pPr>
              <w:tabs>
                <w:tab w:val="num" w:pos="19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>2.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FA6EE5" w:rsidRDefault="00FA6EE5" w:rsidP="000E11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3CFF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</w:p>
          <w:p w:rsidR="00FA6EE5" w:rsidRPr="00B53CFF" w:rsidRDefault="00FA6EE5" w:rsidP="000E11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</w:pPr>
            <w:r w:rsidRPr="00B53CFF">
              <w:rPr>
                <w:rFonts w:ascii="Times New Roman" w:hAnsi="Times New Roman" w:cs="Times New Roman"/>
                <w:sz w:val="28"/>
                <w:szCs w:val="28"/>
              </w:rPr>
              <w:t xml:space="preserve">«Проведение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края, </w:t>
            </w:r>
            <w:proofErr w:type="gramStart"/>
            <w:r w:rsidRPr="00B53C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B53CFF">
              <w:rPr>
                <w:rFonts w:ascii="Times New Roman" w:hAnsi="Times New Roman" w:cs="Times New Roman"/>
                <w:sz w:val="28"/>
                <w:szCs w:val="28"/>
              </w:rPr>
              <w:t>. Грачевка, ул. Шоссейная,10»</w:t>
            </w:r>
          </w:p>
        </w:tc>
        <w:tc>
          <w:tcPr>
            <w:tcW w:w="5405" w:type="dxa"/>
            <w:gridSpan w:val="2"/>
            <w:shd w:val="clear" w:color="auto" w:fill="auto"/>
          </w:tcPr>
          <w:p w:rsidR="00FA6EE5" w:rsidRPr="00103DB4" w:rsidRDefault="00FA6EE5" w:rsidP="000E119D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103DB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в целях повышения уровня и качества услуг, предоставляемых населению района, </w:t>
            </w:r>
            <w:r w:rsidRPr="00103DB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приспособления дооборудования существующего здания управления труда и социальной защиты населения администрации Грачевского муниципального округа с учетом потребностей маломобильных групп населения (расширение дверных проемов, укладка противоскользящих покрытий пола, приобретение и установка информационных табличек с рельефно-точечным шрифт</w:t>
            </w:r>
            <w:r w:rsidR="009118F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ом Брайля и другие мероприятия)</w:t>
            </w:r>
          </w:p>
          <w:p w:rsidR="00FA6EE5" w:rsidRPr="00956298" w:rsidRDefault="00FA6EE5" w:rsidP="000E119D">
            <w:pPr>
              <w:autoSpaceDE w:val="0"/>
              <w:autoSpaceDN w:val="0"/>
              <w:adjustRightInd w:val="0"/>
              <w:spacing w:after="0" w:line="240" w:lineRule="auto"/>
              <w:ind w:hanging="45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FA6EE5" w:rsidRDefault="00FA6EE5" w:rsidP="000E119D">
            <w:pPr>
              <w:autoSpaceDE w:val="0"/>
              <w:autoSpaceDN w:val="0"/>
              <w:adjustRightInd w:val="0"/>
              <w:spacing w:after="0" w:line="240" w:lineRule="auto"/>
              <w:ind w:hanging="45"/>
              <w:jc w:val="both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>2025 г. – 100,0 тыс. руб.</w:t>
            </w:r>
          </w:p>
          <w:p w:rsidR="00FA6EE5" w:rsidRPr="00956298" w:rsidRDefault="00FA6EE5" w:rsidP="000E119D">
            <w:pPr>
              <w:autoSpaceDE w:val="0"/>
              <w:autoSpaceDN w:val="0"/>
              <w:adjustRightInd w:val="0"/>
              <w:spacing w:after="0" w:line="240" w:lineRule="auto"/>
              <w:ind w:hanging="45"/>
              <w:jc w:val="both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>2026 г. – 100,0 тыс. руб.</w:t>
            </w:r>
          </w:p>
        </w:tc>
      </w:tr>
    </w:tbl>
    <w:p w:rsidR="00FA6EE5" w:rsidRDefault="00B47247" w:rsidP="00FA6EE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291D06" w:rsidRDefault="009118FD" w:rsidP="00291D06">
      <w:pPr>
        <w:jc w:val="center"/>
        <w:rPr>
          <w:rFonts w:ascii="Times New Roman" w:hAnsi="Times New Roman"/>
          <w:sz w:val="28"/>
          <w:szCs w:val="28"/>
        </w:rPr>
        <w:sectPr w:rsidR="00291D06" w:rsidSect="00E94739">
          <w:headerReference w:type="default" r:id="rId12"/>
          <w:pgSz w:w="16838" w:h="11906" w:orient="landscape"/>
          <w:pgMar w:top="1985" w:right="1245" w:bottom="567" w:left="1134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________</w:t>
      </w:r>
      <w:r w:rsidR="00E94739">
        <w:rPr>
          <w:rFonts w:ascii="Times New Roman" w:hAnsi="Times New Roman"/>
          <w:sz w:val="28"/>
          <w:szCs w:val="28"/>
        </w:rPr>
        <w:t>_______________________________</w:t>
      </w:r>
    </w:p>
    <w:p w:rsidR="00956298" w:rsidRPr="009B4E0A" w:rsidRDefault="00B47247" w:rsidP="003A7283">
      <w:pPr>
        <w:shd w:val="clear" w:color="auto" w:fill="FFFFFF" w:themeFill="background1"/>
        <w:spacing w:after="0" w:line="240" w:lineRule="exact"/>
        <w:ind w:left="100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956298" w:rsidRPr="009B4E0A">
        <w:rPr>
          <w:rFonts w:ascii="Times New Roman" w:hAnsi="Times New Roman"/>
          <w:sz w:val="28"/>
          <w:szCs w:val="28"/>
        </w:rPr>
        <w:t>Приложение 2</w:t>
      </w:r>
    </w:p>
    <w:p w:rsidR="00F54890" w:rsidRPr="00B23C1A" w:rsidRDefault="00956298" w:rsidP="003A7283">
      <w:pPr>
        <w:spacing w:after="0" w:line="240" w:lineRule="exact"/>
        <w:ind w:left="1006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4E0A">
        <w:rPr>
          <w:rFonts w:ascii="Times New Roman" w:hAnsi="Times New Roman"/>
          <w:sz w:val="28"/>
          <w:szCs w:val="28"/>
        </w:rPr>
        <w:t xml:space="preserve">к дополнительным документам, </w:t>
      </w:r>
      <w:r w:rsidR="00B47247">
        <w:rPr>
          <w:rFonts w:ascii="Times New Roman" w:hAnsi="Times New Roman"/>
          <w:sz w:val="28"/>
          <w:szCs w:val="28"/>
        </w:rPr>
        <w:t>п</w:t>
      </w:r>
      <w:r w:rsidRPr="009B4E0A">
        <w:rPr>
          <w:rFonts w:ascii="Times New Roman" w:hAnsi="Times New Roman"/>
          <w:sz w:val="28"/>
          <w:szCs w:val="28"/>
        </w:rPr>
        <w:t xml:space="preserve">редоставляемым вместе с муниципальной программой Грачевского </w:t>
      </w:r>
      <w:r>
        <w:rPr>
          <w:rFonts w:ascii="Times New Roman" w:hAnsi="Times New Roman"/>
          <w:sz w:val="28"/>
          <w:szCs w:val="28"/>
        </w:rPr>
        <w:t>муниципального округа</w:t>
      </w:r>
      <w:r w:rsidRPr="009B4E0A">
        <w:rPr>
          <w:rFonts w:ascii="Times New Roman" w:hAnsi="Times New Roman"/>
          <w:sz w:val="28"/>
          <w:szCs w:val="28"/>
        </w:rPr>
        <w:t xml:space="preserve"> Ставропольского края </w:t>
      </w:r>
      <w:r w:rsidR="00F54890"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«Социальная</w:t>
      </w:r>
      <w:r w:rsidR="00B23C1A"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54890"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поддержка граждан в Грачевском муниципальном округе</w:t>
      </w:r>
      <w:r w:rsidR="00B23C1A"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54890"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Ставропольского</w:t>
      </w:r>
      <w:r w:rsidR="00B23C1A"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54890"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края»</w:t>
      </w:r>
    </w:p>
    <w:p w:rsidR="00F54890" w:rsidRPr="00B23C1A" w:rsidRDefault="00F54890" w:rsidP="003E27AC">
      <w:pPr>
        <w:widowControl w:val="0"/>
        <w:autoSpaceDE w:val="0"/>
        <w:autoSpaceDN w:val="0"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4890" w:rsidRDefault="00F54890" w:rsidP="00B23C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944" w:rsidRDefault="00260944" w:rsidP="00B23C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7283" w:rsidRPr="00B23C1A" w:rsidRDefault="003A7283" w:rsidP="00B23C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4890" w:rsidRPr="00B23C1A" w:rsidRDefault="00F54890" w:rsidP="00B23C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F54890" w:rsidRDefault="00F54890" w:rsidP="00B23C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источнике информации и методике расчета индикаторов достижения целей</w:t>
      </w:r>
      <w:r w:rsidR="00260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0944" w:rsidRPr="009B4E0A">
        <w:rPr>
          <w:rFonts w:ascii="Times New Roman" w:hAnsi="Times New Roman"/>
          <w:sz w:val="28"/>
          <w:szCs w:val="28"/>
        </w:rPr>
        <w:t>муниципальной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Грачевского муниципального округа Ставропольского края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«Социальная</w:t>
      </w:r>
      <w:r w:rsidR="00B23C1A"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поддержка граждан в Грачевском</w:t>
      </w:r>
      <w:r w:rsidR="00B23C1A"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муниципальном округе</w:t>
      </w:r>
      <w:r w:rsidR="00B23C1A"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Ставропольского</w:t>
      </w:r>
      <w:r w:rsidR="00B23C1A"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края»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показателей решения задач подпрограмм Программы</w:t>
      </w:r>
    </w:p>
    <w:p w:rsidR="008B04DF" w:rsidRPr="00B23C1A" w:rsidRDefault="008B04DF" w:rsidP="00B23C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4890" w:rsidRPr="00B23C1A" w:rsidRDefault="00F54890" w:rsidP="00B23C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033" w:type="dxa"/>
        <w:tblInd w:w="34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"/>
        <w:gridCol w:w="5954"/>
        <w:gridCol w:w="1843"/>
        <w:gridCol w:w="3260"/>
        <w:gridCol w:w="2126"/>
      </w:tblGrid>
      <w:tr w:rsidR="00F54890" w:rsidRPr="00B23C1A" w:rsidTr="009118F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424" w:rsidRDefault="00644424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472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информации (методика расчета)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472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Временные характеристики индикатора достижения цели Программы и показателя решения задачи подпрограммы Программы </w:t>
            </w:r>
          </w:p>
        </w:tc>
      </w:tr>
      <w:tr w:rsidR="00F54890" w:rsidRPr="00B23C1A" w:rsidTr="009118F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67703C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54890" w:rsidRPr="00B23C1A" w:rsidTr="009118FD">
        <w:tc>
          <w:tcPr>
            <w:tcW w:w="140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44" w:rsidRDefault="00260944" w:rsidP="00260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9B4E0A">
              <w:rPr>
                <w:rFonts w:ascii="Times New Roman" w:hAnsi="Times New Roman"/>
                <w:sz w:val="28"/>
                <w:szCs w:val="28"/>
              </w:rPr>
              <w:t>униципальн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Грачевского муниципального округа Ставропольского края </w:t>
            </w:r>
          </w:p>
          <w:p w:rsidR="00F54890" w:rsidRPr="00B23C1A" w:rsidRDefault="00260944" w:rsidP="00260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gramStart"/>
            <w:r w:rsidRPr="00B23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</w:t>
            </w:r>
            <w:proofErr w:type="gramEnd"/>
            <w:r w:rsidRPr="00B23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поддержка граждан в Грачевском муниципальном округе Ставропольского края» </w:t>
            </w:r>
          </w:p>
        </w:tc>
      </w:tr>
      <w:tr w:rsidR="0067703C" w:rsidRPr="00B23C1A" w:rsidTr="009118F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03C" w:rsidRPr="00B23C1A" w:rsidRDefault="0067703C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03C" w:rsidRDefault="0067703C" w:rsidP="0067703C">
            <w:pPr>
              <w:spacing w:after="0" w:line="240" w:lineRule="auto"/>
              <w:ind w:right="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Индикатор </w:t>
            </w: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1: </w:t>
            </w:r>
          </w:p>
          <w:p w:rsidR="0067703C" w:rsidRDefault="0067703C" w:rsidP="0067703C">
            <w:pPr>
              <w:spacing w:after="0" w:line="240" w:lineRule="auto"/>
              <w:ind w:right="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граждан, которым предоставлены меры социальной поддержки, в общей численности граждан, </w:t>
            </w:r>
            <w:proofErr w:type="gramStart"/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обратившихся</w:t>
            </w:r>
            <w:proofErr w:type="gramEnd"/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имеющих право на их получение в соответствии с законодательством Российской Федерации и законодательством Ставропольского края (1)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03C" w:rsidRPr="00B23C1A" w:rsidRDefault="0067703C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03C" w:rsidRPr="00B23C1A" w:rsidRDefault="0067703C" w:rsidP="008B04DF">
            <w:pPr>
              <w:pStyle w:val="1"/>
              <w:jc w:val="center"/>
              <w:rPr>
                <w:rFonts w:eastAsia="Times New Roman"/>
                <w:noProof/>
                <w:lang w:eastAsia="ru-RU"/>
              </w:rPr>
            </w:pPr>
            <w:r w:rsidRPr="008B04DF">
              <w:rPr>
                <w:rFonts w:eastAsia="Times New Roman"/>
                <w:b w:val="0"/>
                <w:noProof/>
                <w:lang w:eastAsia="ru-RU"/>
              </w:rPr>
              <w:drawing>
                <wp:inline distT="0" distB="0" distL="0" distR="0">
                  <wp:extent cx="799048" cy="540000"/>
                  <wp:effectExtent l="19050" t="0" r="1052" b="0"/>
                  <wp:docPr id="1" name="Рисунок 1" descr="http://www.rusouth.info/i/s1/r112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usouth.info/i/s1/r112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048" cy="5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03C" w:rsidRPr="00B23C1A" w:rsidRDefault="0067703C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год</w:t>
            </w:r>
          </w:p>
        </w:tc>
      </w:tr>
      <w:tr w:rsidR="00F54890" w:rsidRPr="00B23C1A" w:rsidTr="009118F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Индикатор</w:t>
            </w:r>
            <w:r w:rsidR="00B23C1A"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2:</w:t>
            </w:r>
          </w:p>
          <w:p w:rsidR="00F54890" w:rsidRPr="00B23C1A" w:rsidRDefault="00F54890" w:rsidP="00B23C1A">
            <w:pPr>
              <w:spacing w:after="0" w:line="240" w:lineRule="auto"/>
              <w:ind w:right="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семей</w:t>
            </w:r>
            <w:r w:rsidRPr="00B23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тремя и более детьми, получающих ежемесячную денежную выплату, назначаемую в случае рождения третьего ребенка или последующих детей до достижения ребенком возраста трех лет (2)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+(-) 1 семья за 1 единицу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год</w:t>
            </w:r>
          </w:p>
        </w:tc>
      </w:tr>
      <w:tr w:rsidR="00F54890" w:rsidRPr="00B23C1A" w:rsidTr="009118F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C75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Индикатор</w:t>
            </w:r>
            <w:r w:rsidR="00B23C1A"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3:</w:t>
            </w:r>
          </w:p>
          <w:p w:rsidR="00F54890" w:rsidRPr="00B23C1A" w:rsidRDefault="00F54890" w:rsidP="00B2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семей, улучшивших свое материальное положение в связи с выполнением индивидуальной программы реализации</w:t>
            </w:r>
            <w:r w:rsidRPr="00B23C1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социального контракта</w:t>
            </w:r>
            <w:r w:rsidR="00A769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B23C1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(3)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+(-) 1 семья за 1 единицу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год</w:t>
            </w:r>
          </w:p>
        </w:tc>
      </w:tr>
      <w:tr w:rsidR="00F54890" w:rsidRPr="00B23C1A" w:rsidTr="009118F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9562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C75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Индикатор</w:t>
            </w:r>
            <w:r w:rsidR="00B23C1A"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75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ind w:right="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граждан, охваченных услугами</w:t>
            </w:r>
            <w:r w:rsidR="00B23C1A"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рамках социальных проектов, реализованных социально ориентированными </w:t>
            </w: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некоммерческими организациями (4)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+(-) 1 человек за 1 единицу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год</w:t>
            </w:r>
          </w:p>
        </w:tc>
      </w:tr>
      <w:tr w:rsidR="003E27AC" w:rsidRPr="00B23C1A" w:rsidTr="009118F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AC" w:rsidRPr="00B23C1A" w:rsidRDefault="003E27AC" w:rsidP="009562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AC" w:rsidRPr="00B23C1A" w:rsidRDefault="003E27AC" w:rsidP="003E27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AC" w:rsidRPr="00B23C1A" w:rsidRDefault="003E27AC" w:rsidP="003E27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AC" w:rsidRPr="00B23C1A" w:rsidRDefault="003E27AC" w:rsidP="003E27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AC" w:rsidRPr="00B23C1A" w:rsidRDefault="003E27AC" w:rsidP="003E27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54890" w:rsidRPr="00B23C1A" w:rsidTr="009118F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C75FC5">
            <w:pPr>
              <w:spacing w:after="0" w:line="240" w:lineRule="auto"/>
              <w:ind w:right="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Индикатор </w:t>
            </w:r>
            <w:r w:rsidR="00C75FC5" w:rsidRPr="00C75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75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23C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доля приоритетных учреждений социальной сферы Грачевского муниципального округа, оснащенных пандусами и специальным оборудованием для обеспечения беспрепятственного доступа к ним инвалидов и других маломобильных групп населения, в общем количестве приоритетных учреждений социальной сферы округа, нуждающихся в оснащении (5)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57037" cy="506229"/>
                  <wp:effectExtent l="19050" t="0" r="4963" b="0"/>
                  <wp:docPr id="10" name="Рисунок 1" descr="http://ipravo.info/stavropol1/act54/iimg688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pravo.info/stavropol1/act54/iimg688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318" cy="5144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год</w:t>
            </w:r>
          </w:p>
        </w:tc>
      </w:tr>
      <w:tr w:rsidR="00F54890" w:rsidRPr="00B23C1A" w:rsidTr="009118FD">
        <w:tc>
          <w:tcPr>
            <w:tcW w:w="140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956298" w:rsidP="00C75FC5">
            <w:pPr>
              <w:widowControl w:val="0"/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F54890"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1 «</w:t>
            </w:r>
            <w:proofErr w:type="gramStart"/>
            <w:r w:rsidR="00F54890"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</w:t>
            </w:r>
            <w:proofErr w:type="gramEnd"/>
            <w:r w:rsidR="00F54890"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обеспечение населения Грачевского муниципального </w:t>
            </w:r>
            <w:r w:rsidR="00C75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округа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="00F54890"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F54890" w:rsidRPr="00B23C1A" w:rsidTr="009118F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2"/>
              <w:jc w:val="both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 1</w:t>
            </w:r>
            <w:r w:rsidR="00B23C1A"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решения задачи 1:</w:t>
            </w:r>
          </w:p>
          <w:p w:rsidR="00F54890" w:rsidRPr="00B23C1A" w:rsidRDefault="00F54890" w:rsidP="00B23C1A">
            <w:pPr>
              <w:autoSpaceDE w:val="0"/>
              <w:autoSpaceDN w:val="0"/>
              <w:adjustRightInd w:val="0"/>
              <w:spacing w:after="0" w:line="240" w:lineRule="auto"/>
              <w:ind w:right="82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многодетных семей, проживающих на территории Грачевского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семей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EF01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данные управления труда и социальной защиты населения администрации Грачевского муниципального </w:t>
            </w:r>
            <w:r w:rsidR="00EF0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год</w:t>
            </w:r>
          </w:p>
        </w:tc>
      </w:tr>
      <w:tr w:rsidR="00F54890" w:rsidRPr="00B23C1A" w:rsidTr="009118F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2"/>
              <w:jc w:val="both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 2</w:t>
            </w:r>
            <w:r w:rsidR="00B23C1A"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решения задачи 1:</w:t>
            </w:r>
          </w:p>
          <w:p w:rsidR="00F54890" w:rsidRPr="00B23C1A" w:rsidRDefault="00F54890" w:rsidP="00B23C1A">
            <w:pPr>
              <w:autoSpaceDE w:val="0"/>
              <w:autoSpaceDN w:val="0"/>
              <w:adjustRightInd w:val="0"/>
              <w:spacing w:after="0" w:line="240" w:lineRule="auto"/>
              <w:ind w:right="82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заключенных социальных контрактов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90" w:rsidRPr="00B23C1A" w:rsidRDefault="00F54890" w:rsidP="00644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семей, заключивших контракт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EF01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данные управления труда и социальной защиты населения администрации Грачевского муниципального </w:t>
            </w:r>
            <w:r w:rsidR="00EF0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год</w:t>
            </w:r>
          </w:p>
        </w:tc>
      </w:tr>
      <w:tr w:rsidR="003E27AC" w:rsidRPr="00B23C1A" w:rsidTr="009118F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AC" w:rsidRPr="00B23C1A" w:rsidRDefault="003E27AC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AC" w:rsidRPr="00B23C1A" w:rsidRDefault="003E27AC" w:rsidP="003E27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AC" w:rsidRPr="00B23C1A" w:rsidRDefault="003E27AC" w:rsidP="003E2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AC" w:rsidRPr="00B23C1A" w:rsidRDefault="003E27AC" w:rsidP="003E27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AC" w:rsidRPr="00B23C1A" w:rsidRDefault="003E27AC" w:rsidP="003E27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54890" w:rsidRPr="00B23C1A" w:rsidTr="009118F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90" w:rsidRPr="00B23C1A" w:rsidRDefault="00F54890" w:rsidP="00B23C1A">
            <w:pPr>
              <w:autoSpaceDE w:val="0"/>
              <w:autoSpaceDN w:val="0"/>
              <w:adjustRightInd w:val="0"/>
              <w:spacing w:after="0" w:line="240" w:lineRule="auto"/>
              <w:ind w:right="82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 1 решения задачи 2:</w:t>
            </w:r>
            <w:r w:rsidRPr="00B23C1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  <w:p w:rsidR="00F54890" w:rsidRPr="00B23C1A" w:rsidRDefault="00F54890" w:rsidP="00B23C1A">
            <w:pPr>
              <w:autoSpaceDE w:val="0"/>
              <w:autoSpaceDN w:val="0"/>
              <w:adjustRightInd w:val="0"/>
              <w:spacing w:after="0" w:line="240" w:lineRule="auto"/>
              <w:ind w:right="82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уровень</w:t>
            </w:r>
            <w:r w:rsidR="00B23C1A" w:rsidRPr="00B23C1A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23C1A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удовлетворенности</w:t>
            </w:r>
            <w:r w:rsidR="00B23C1A" w:rsidRPr="00B23C1A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23C1A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граждан</w:t>
            </w:r>
            <w:r w:rsidR="00B23C1A" w:rsidRPr="00B23C1A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23C1A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качеством</w:t>
            </w:r>
            <w:r w:rsidR="00B23C1A" w:rsidRPr="00B23C1A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23C1A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и доступностью</w:t>
            </w:r>
            <w:r w:rsidR="00B23C1A" w:rsidRPr="00B23C1A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23C1A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государственных</w:t>
            </w:r>
            <w:r w:rsidR="00B23C1A" w:rsidRPr="00B23C1A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23C1A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услуг</w:t>
            </w:r>
            <w:r w:rsidR="00B23C1A" w:rsidRPr="00B23C1A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23C1A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в</w:t>
            </w:r>
            <w:r w:rsidR="00B23C1A" w:rsidRPr="00B23C1A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23C1A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сфере социальной защиты населения Грачевского муниципального округа</w:t>
            </w:r>
            <w:r w:rsidRPr="00B23C1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90" w:rsidRPr="00B23C1A" w:rsidRDefault="00F54890" w:rsidP="00B23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4890" w:rsidRPr="00B23C1A" w:rsidRDefault="00F54890" w:rsidP="00B23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EF01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данные управления труда и социальной защиты населения администрации Грачевского муниципального </w:t>
            </w:r>
            <w:r w:rsidR="00EF0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год</w:t>
            </w:r>
          </w:p>
        </w:tc>
      </w:tr>
      <w:tr w:rsidR="00F54890" w:rsidRPr="00B23C1A" w:rsidTr="009118F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2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 2 решения задачи 2:</w:t>
            </w:r>
            <w:r w:rsidRPr="00B23C1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  <w:p w:rsidR="00F54890" w:rsidRPr="00B23C1A" w:rsidRDefault="00F54890" w:rsidP="00B2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 xml:space="preserve">количество информационных материалов, разъясняющих порядок и условия предоставления мер социальной поддержки, опубликованных в средствах </w:t>
            </w:r>
            <w:proofErr w:type="gramStart"/>
            <w:r w:rsidRPr="00B23C1A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массовой</w:t>
            </w:r>
            <w:proofErr w:type="gramEnd"/>
            <w:r w:rsidRPr="00B23C1A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 xml:space="preserve"> информации, на официальном сайте, социальных сетях, распространенных иным способом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90" w:rsidRPr="00B23C1A" w:rsidRDefault="00F54890" w:rsidP="00B23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EF01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данные управления труда и социальной защиты населения администрации Грачевского муниципального </w:t>
            </w:r>
            <w:r w:rsidR="00EF0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год</w:t>
            </w:r>
          </w:p>
        </w:tc>
      </w:tr>
      <w:tr w:rsidR="00F54890" w:rsidRPr="00B23C1A" w:rsidTr="009118F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 1 решения задачи 3:</w:t>
            </w:r>
          </w:p>
          <w:p w:rsidR="00F54890" w:rsidRPr="00E148FC" w:rsidRDefault="0085075D" w:rsidP="0085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8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социально ориентированных некоммерческих организаций, получивших информационную, методическую и финансовую поддержку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90" w:rsidRPr="00B23C1A" w:rsidRDefault="00F54890" w:rsidP="00B23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EF01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данные администрации Грачевского муниципального </w:t>
            </w:r>
            <w:r w:rsidR="00EF0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год</w:t>
            </w:r>
          </w:p>
        </w:tc>
      </w:tr>
      <w:tr w:rsidR="00F54890" w:rsidRPr="00B23C1A" w:rsidTr="009118FD">
        <w:tc>
          <w:tcPr>
            <w:tcW w:w="140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956298">
            <w:pPr>
              <w:spacing w:after="0" w:line="240" w:lineRule="auto"/>
              <w:ind w:right="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Подпрограмма 2 «Доступная среда в Грачевском муниципальном </w:t>
            </w:r>
            <w:r w:rsidR="00956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округе </w:t>
            </w: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края»</w:t>
            </w:r>
          </w:p>
        </w:tc>
      </w:tr>
      <w:tr w:rsidR="00F54890" w:rsidRPr="00B23C1A" w:rsidTr="009118F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298" w:rsidRPr="00956298" w:rsidRDefault="00956298" w:rsidP="00956298">
            <w:pPr>
              <w:widowControl w:val="0"/>
              <w:autoSpaceDE w:val="0"/>
              <w:autoSpaceDN w:val="0"/>
              <w:spacing w:after="0" w:line="240" w:lineRule="auto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 1 решения задачи 1:</w:t>
            </w:r>
          </w:p>
          <w:p w:rsidR="00F54890" w:rsidRPr="00B23C1A" w:rsidRDefault="00956298" w:rsidP="009C7064">
            <w:pPr>
              <w:widowControl w:val="0"/>
              <w:autoSpaceDE w:val="0"/>
              <w:autoSpaceDN w:val="0"/>
              <w:spacing w:after="0" w:line="240" w:lineRule="auto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модернизация, дооборудование существующих объектов социальной инфраструктуры, строительство новых объектов с учетом </w:t>
            </w:r>
            <w:r w:rsidRPr="00956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требований доступности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количество объектов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EF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данные управления труда и социальной защиты населения администрации </w:t>
            </w: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Грачевского муниципального </w:t>
            </w:r>
            <w:r w:rsidR="00EF0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890" w:rsidRPr="00B23C1A" w:rsidRDefault="00F54890" w:rsidP="00B23C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 год</w:t>
            </w:r>
          </w:p>
        </w:tc>
      </w:tr>
    </w:tbl>
    <w:p w:rsidR="009118FD" w:rsidRDefault="009118FD" w:rsidP="00644424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4890" w:rsidRPr="00B23C1A" w:rsidRDefault="00F54890" w:rsidP="00644424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Рассчитывается по формуле</w:t>
      </w:r>
      <w:r w:rsidRPr="00B23C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 w:rsidR="00B23C1A" w:rsidRPr="00B23C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876300" cy="390525"/>
            <wp:effectExtent l="19050" t="0" r="0" b="0"/>
            <wp:docPr id="11" name="Рисунок 1" descr="http://www.rusouth.info/i/s1/r112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usouth.info/i/s1/r11234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B23C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</w:t>
      </w:r>
    </w:p>
    <w:p w:rsidR="00F54890" w:rsidRPr="00B23C1A" w:rsidRDefault="00F54890" w:rsidP="00644424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4890" w:rsidRPr="00B23C1A" w:rsidRDefault="00F54890" w:rsidP="00644424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 - доля граждан, которым предоставлены меры социальной поддержки в общей численности граждан, </w:t>
      </w:r>
      <w:proofErr w:type="gramStart"/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обратившихся</w:t>
      </w:r>
      <w:proofErr w:type="gramEnd"/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имеющих право на их получение в соответствии с законодательством Российской Федерации и законодательством Ставропольского края;</w:t>
      </w:r>
    </w:p>
    <w:p w:rsidR="00F54890" w:rsidRPr="00B23C1A" w:rsidRDefault="00F54890" w:rsidP="00644424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численность граждан, которым предоставлены меры социальной поддержки (</w:t>
      </w:r>
      <w:r w:rsidRPr="00B23C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данные федерального статистического наблюдения по форме </w:t>
      </w:r>
      <w:r w:rsidR="006444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№</w:t>
      </w:r>
      <w:r w:rsidRPr="00B23C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3 - </w:t>
      </w:r>
      <w:proofErr w:type="spellStart"/>
      <w:r w:rsidRPr="00B23C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соцподдержка</w:t>
      </w:r>
      <w:proofErr w:type="spellEnd"/>
      <w:r w:rsidRPr="00B23C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;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4890" w:rsidRPr="00B23C1A" w:rsidRDefault="00F54890" w:rsidP="00644424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И - общая численность граждан, обратившихся и имеющих право на получение мер социальной поддержки в соответствии с законодательством Российской Федерации и законодательством Ставропольского края (данные управления труда и социальной защиты населения администрации Грачевского муниципального округа Ставропольского края</w:t>
      </w:r>
      <w:proofErr w:type="gramEnd"/>
    </w:p>
    <w:p w:rsidR="00F54890" w:rsidRPr="00B23C1A" w:rsidRDefault="00F54890" w:rsidP="00644424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F54890" w:rsidRPr="00B23C1A" w:rsidRDefault="00F54890" w:rsidP="00644424">
      <w:pPr>
        <w:spacing w:after="0" w:line="240" w:lineRule="auto"/>
        <w:ind w:left="142" w:right="-1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B23C1A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 одну единицу показателя «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семей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тремя и более детьми, получающих ежемесячную денежную выплату, назначаемую в случае рождения третьего ребенка или последующих детей до достижения ребенком возраста трех лет»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устанавливается значение 1 семья, </w:t>
      </w:r>
      <w:r w:rsidRPr="00B23C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базовое значение показателя по итогам 2019 года составляет 226 семей. Таким образом, каждое последующее увеличение или уменьшение на 1 единицу от исходного показателя оценивается как плюс или минус еще 1 балл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1 единицу показателя.</w:t>
      </w:r>
    </w:p>
    <w:p w:rsidR="00F54890" w:rsidRPr="00B23C1A" w:rsidRDefault="00F54890" w:rsidP="00644424">
      <w:pPr>
        <w:spacing w:after="0" w:line="240" w:lineRule="auto"/>
        <w:ind w:left="142"/>
        <w:rPr>
          <w:rFonts w:ascii="Times New Roman" w:eastAsia="Courier New" w:hAnsi="Times New Roman" w:cs="Times New Roman"/>
          <w:sz w:val="28"/>
          <w:szCs w:val="28"/>
          <w:lang w:eastAsia="ru-RU"/>
        </w:rPr>
      </w:pPr>
    </w:p>
    <w:p w:rsidR="00F54890" w:rsidRPr="00B23C1A" w:rsidRDefault="00F54890" w:rsidP="00644424">
      <w:pPr>
        <w:spacing w:after="0" w:line="240" w:lineRule="auto"/>
        <w:ind w:left="142" w:right="-1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3C1A">
        <w:rPr>
          <w:rFonts w:ascii="Times New Roman" w:eastAsia="Courier New" w:hAnsi="Times New Roman" w:cs="Times New Roman"/>
          <w:sz w:val="28"/>
          <w:szCs w:val="28"/>
          <w:lang w:eastAsia="ru-RU"/>
        </w:rPr>
        <w:t>3)</w:t>
      </w:r>
      <w:r w:rsidRPr="00B23C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 одну единицу показателя «К</w:t>
      </w: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оличество семей, улучшивших свое материальное положение в связи с выполнением индивидуальной программы реализации</w:t>
      </w:r>
      <w:r w:rsidRPr="00B23C1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социального контракта»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устанавливается значение 1 семья, </w:t>
      </w:r>
      <w:r w:rsidRPr="00B23C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базовое значение показателя по итогам 2019 года составляет 4 семьи. Таким образом, каждое последующее увеличение или уменьшение на 1 единицу от исходного показателя оценивается как плюс или минус еще 1 балл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1 единицу показателя;</w:t>
      </w:r>
    </w:p>
    <w:p w:rsidR="00F54890" w:rsidRPr="00B23C1A" w:rsidRDefault="00F54890" w:rsidP="00644424">
      <w:pPr>
        <w:spacing w:after="0" w:line="240" w:lineRule="auto"/>
        <w:ind w:left="14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54890" w:rsidRPr="00B23C1A" w:rsidRDefault="00F54890" w:rsidP="009118F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4) За одну единицу показателя «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граждан, охваченных услугами (в том числе социальными) в рамках социальных проектов, реализованных социально ориентированными некоммерческими организациями»</w:t>
      </w:r>
      <w:r w:rsidR="00B23C1A"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устанавливается значение 1 человек, </w:t>
      </w:r>
      <w:r w:rsidRPr="00B23C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базовое значение показателя по итогам 2019 года составляет 282 человека. Таким образом, каждое последующее увеличение или уменьшение на 1 единицу от исходного показателя оценивается как плюс или минус еще 1 балл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1 единицу показателя.</w:t>
      </w:r>
    </w:p>
    <w:p w:rsidR="00F54890" w:rsidRPr="00B23C1A" w:rsidRDefault="00F54890" w:rsidP="009118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4890" w:rsidRPr="00B23C1A" w:rsidRDefault="00F54890" w:rsidP="00644424">
      <w:pPr>
        <w:shd w:val="clear" w:color="auto" w:fill="FFFFFF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B23C1A" w:rsidRPr="00B23C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Рассчитывается по формуле:</w:t>
      </w:r>
      <w:r w:rsidRPr="00B23C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F54890" w:rsidRPr="00B23C1A" w:rsidRDefault="00B23C1A" w:rsidP="00644424">
      <w:pPr>
        <w:snapToGri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4890" w:rsidRPr="00B23C1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847725" cy="390525"/>
            <wp:effectExtent l="19050" t="0" r="9525" b="0"/>
            <wp:docPr id="12" name="Рисунок 1" descr="http://ipravo.info/stavropol1/act54/iimg68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pravo.info/stavropol1/act54/iimg6889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4890"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где</w:t>
      </w:r>
    </w:p>
    <w:p w:rsidR="00F54890" w:rsidRPr="00B23C1A" w:rsidRDefault="00F54890" w:rsidP="0064442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 - доля приоритетных учреждений социальной сферы, оснащенных пандусами и специальным оборудованием для обеспечения беспрепятственного доступа к ним инвалидов и других маломобильных групп населения края, в общем количестве учреждений социальной сферы округа, нуждающихся в оснащении пандусами и специальным оборудованием для обеспечения беспрепятственного доступа к ним инвалидов и других маломобильных групп населения;</w:t>
      </w:r>
    </w:p>
    <w:p w:rsidR="00F54890" w:rsidRPr="00B23C1A" w:rsidRDefault="00F54890" w:rsidP="0064442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- количество приоритетных учреждений социальной сферы округа, оснащенных пандусами и специальным оборудованием для обеспечения беспрепятственного доступа к ним инвалидов и других маломобильных групп населения;</w:t>
      </w:r>
    </w:p>
    <w:p w:rsidR="00F54890" w:rsidRPr="00B23C1A" w:rsidRDefault="00F54890" w:rsidP="0064442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B2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общее количество учреждений социальной сферы округа, нуждающихся в оснащении</w:t>
      </w:r>
    </w:p>
    <w:p w:rsidR="003323F2" w:rsidRDefault="003323F2" w:rsidP="00956298">
      <w:pPr>
        <w:tabs>
          <w:tab w:val="num" w:pos="1980"/>
        </w:tabs>
        <w:spacing w:after="0" w:line="240" w:lineRule="auto"/>
        <w:ind w:left="7788"/>
        <w:jc w:val="both"/>
        <w:rPr>
          <w:rFonts w:ascii="Times New Roman" w:hAnsi="Times New Roman" w:cs="Times New Roman"/>
          <w:sz w:val="28"/>
          <w:szCs w:val="28"/>
        </w:rPr>
      </w:pPr>
    </w:p>
    <w:p w:rsidR="00644424" w:rsidRDefault="00644424" w:rsidP="00644424">
      <w:pPr>
        <w:tabs>
          <w:tab w:val="num" w:pos="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0A7C48" w:rsidRPr="00956298" w:rsidRDefault="000A7C48" w:rsidP="00E94739">
      <w:pPr>
        <w:tabs>
          <w:tab w:val="num" w:pos="1980"/>
          <w:tab w:val="left" w:pos="104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A7C48" w:rsidRPr="00956298" w:rsidSect="00E94739">
      <w:pgSz w:w="16838" w:h="11906" w:orient="landscape"/>
      <w:pgMar w:top="1985" w:right="1245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F82" w:rsidRDefault="00336F82" w:rsidP="00F54890">
      <w:pPr>
        <w:spacing w:after="0" w:line="240" w:lineRule="auto"/>
      </w:pPr>
      <w:r>
        <w:separator/>
      </w:r>
    </w:p>
  </w:endnote>
  <w:endnote w:type="continuationSeparator" w:id="0">
    <w:p w:rsidR="00336F82" w:rsidRDefault="00336F82" w:rsidP="00F54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F82" w:rsidRDefault="00336F82" w:rsidP="00F54890">
      <w:pPr>
        <w:spacing w:after="0" w:line="240" w:lineRule="auto"/>
      </w:pPr>
      <w:r>
        <w:separator/>
      </w:r>
    </w:p>
  </w:footnote>
  <w:footnote w:type="continuationSeparator" w:id="0">
    <w:p w:rsidR="00336F82" w:rsidRDefault="00336F82" w:rsidP="00F54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3135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E119D" w:rsidRPr="00F02DF5" w:rsidRDefault="000E119D">
        <w:pPr>
          <w:pStyle w:val="af"/>
          <w:jc w:val="center"/>
          <w:rPr>
            <w:sz w:val="24"/>
            <w:szCs w:val="24"/>
          </w:rPr>
        </w:pPr>
        <w:r w:rsidRPr="00F02DF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02DF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02DF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045D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F02DF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E119D" w:rsidRDefault="000E119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31420"/>
      <w:docPartObj>
        <w:docPartGallery w:val="Page Numbers (Margins)"/>
        <w:docPartUnique/>
      </w:docPartObj>
    </w:sdtPr>
    <w:sdtContent>
      <w:p w:rsidR="000E119D" w:rsidRDefault="000E119D">
        <w:pPr>
          <w:pStyle w:val="af"/>
        </w:pPr>
        <w:r>
          <w:rPr>
            <w:noProof/>
            <w:lang w:eastAsia="zh-TW"/>
          </w:rPr>
          <w:pict>
            <v:rect id="_x0000_s4105" style="position:absolute;margin-left:0;margin-top:0;width:34.35pt;height:70.5pt;z-index:251662336;mso-position-horizontal:center;mso-position-horizontal-relative:right-margin-area;mso-position-vertical:center;mso-position-vertical-relative:page" o:allowincell="f" stroked="f">
              <v:textbox style="layout-flow:vertical;mso-next-textbox:#_x0000_s4105">
                <w:txbxContent>
                  <w:sdt>
                    <w:sdt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d w:val="7531419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0E119D" w:rsidRPr="00507BF5" w:rsidRDefault="000E119D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507BF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507BF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 xml:space="preserve"> PAGE  \* MERGEFORMAT </w:instrText>
                        </w:r>
                        <w:r w:rsidRPr="00507BF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E7045D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3</w:t>
                        </w:r>
                        <w:r w:rsidRPr="00507BF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560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54890"/>
    <w:rsid w:val="000230BB"/>
    <w:rsid w:val="00080292"/>
    <w:rsid w:val="000A7C48"/>
    <w:rsid w:val="000D12F4"/>
    <w:rsid w:val="000D5ED8"/>
    <w:rsid w:val="000E119D"/>
    <w:rsid w:val="000F178E"/>
    <w:rsid w:val="000F4C9A"/>
    <w:rsid w:val="00103DB4"/>
    <w:rsid w:val="00135BDA"/>
    <w:rsid w:val="00184001"/>
    <w:rsid w:val="00212D86"/>
    <w:rsid w:val="00260944"/>
    <w:rsid w:val="00266D4D"/>
    <w:rsid w:val="00291D06"/>
    <w:rsid w:val="002A02A3"/>
    <w:rsid w:val="002C7E8F"/>
    <w:rsid w:val="0031191E"/>
    <w:rsid w:val="00320EDF"/>
    <w:rsid w:val="00331DE0"/>
    <w:rsid w:val="003323F2"/>
    <w:rsid w:val="00336F82"/>
    <w:rsid w:val="003375F8"/>
    <w:rsid w:val="003A10D2"/>
    <w:rsid w:val="003A7283"/>
    <w:rsid w:val="003E27AC"/>
    <w:rsid w:val="003E3E6C"/>
    <w:rsid w:val="0042488C"/>
    <w:rsid w:val="004773A3"/>
    <w:rsid w:val="004D0E1E"/>
    <w:rsid w:val="004D196E"/>
    <w:rsid w:val="00507BF5"/>
    <w:rsid w:val="005163CD"/>
    <w:rsid w:val="00526DFB"/>
    <w:rsid w:val="00530CE9"/>
    <w:rsid w:val="0053219E"/>
    <w:rsid w:val="00533F1C"/>
    <w:rsid w:val="00560DD2"/>
    <w:rsid w:val="00562717"/>
    <w:rsid w:val="0057585B"/>
    <w:rsid w:val="00587E99"/>
    <w:rsid w:val="00632422"/>
    <w:rsid w:val="00644424"/>
    <w:rsid w:val="0067272E"/>
    <w:rsid w:val="0067703C"/>
    <w:rsid w:val="006B255B"/>
    <w:rsid w:val="006E0E00"/>
    <w:rsid w:val="0074772B"/>
    <w:rsid w:val="00801A93"/>
    <w:rsid w:val="00843260"/>
    <w:rsid w:val="0085075D"/>
    <w:rsid w:val="00863406"/>
    <w:rsid w:val="0089282A"/>
    <w:rsid w:val="008B04DF"/>
    <w:rsid w:val="008B6E5B"/>
    <w:rsid w:val="008E00DB"/>
    <w:rsid w:val="008E29B9"/>
    <w:rsid w:val="008F123B"/>
    <w:rsid w:val="009118FD"/>
    <w:rsid w:val="00913CF4"/>
    <w:rsid w:val="009415BB"/>
    <w:rsid w:val="00956298"/>
    <w:rsid w:val="009B5B13"/>
    <w:rsid w:val="009C7064"/>
    <w:rsid w:val="009E4776"/>
    <w:rsid w:val="009F6EB4"/>
    <w:rsid w:val="00A213CD"/>
    <w:rsid w:val="00A76965"/>
    <w:rsid w:val="00A85CE6"/>
    <w:rsid w:val="00AA7C87"/>
    <w:rsid w:val="00AB0238"/>
    <w:rsid w:val="00AC763A"/>
    <w:rsid w:val="00AF4041"/>
    <w:rsid w:val="00AF73A7"/>
    <w:rsid w:val="00AF761E"/>
    <w:rsid w:val="00B23C1A"/>
    <w:rsid w:val="00B24173"/>
    <w:rsid w:val="00B3196E"/>
    <w:rsid w:val="00B47247"/>
    <w:rsid w:val="00B53CFF"/>
    <w:rsid w:val="00B53D02"/>
    <w:rsid w:val="00B63925"/>
    <w:rsid w:val="00B75D2A"/>
    <w:rsid w:val="00BA166B"/>
    <w:rsid w:val="00BB0BBD"/>
    <w:rsid w:val="00C0302C"/>
    <w:rsid w:val="00C038C0"/>
    <w:rsid w:val="00C32797"/>
    <w:rsid w:val="00C43830"/>
    <w:rsid w:val="00C5594D"/>
    <w:rsid w:val="00C75FC5"/>
    <w:rsid w:val="00CC7BD8"/>
    <w:rsid w:val="00D044BA"/>
    <w:rsid w:val="00D33CC3"/>
    <w:rsid w:val="00DC1350"/>
    <w:rsid w:val="00DC3D04"/>
    <w:rsid w:val="00DD7D06"/>
    <w:rsid w:val="00E10FC6"/>
    <w:rsid w:val="00E148FC"/>
    <w:rsid w:val="00E7045D"/>
    <w:rsid w:val="00E759A6"/>
    <w:rsid w:val="00E917DC"/>
    <w:rsid w:val="00E94739"/>
    <w:rsid w:val="00E97798"/>
    <w:rsid w:val="00EB5DE7"/>
    <w:rsid w:val="00ED17A3"/>
    <w:rsid w:val="00EF0135"/>
    <w:rsid w:val="00F02DF5"/>
    <w:rsid w:val="00F24C0F"/>
    <w:rsid w:val="00F54890"/>
    <w:rsid w:val="00F60977"/>
    <w:rsid w:val="00FA6EE5"/>
    <w:rsid w:val="00FC4E3A"/>
    <w:rsid w:val="00FC6A7C"/>
    <w:rsid w:val="00FF4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C48"/>
  </w:style>
  <w:style w:type="paragraph" w:styleId="1">
    <w:name w:val="heading 1"/>
    <w:basedOn w:val="a"/>
    <w:next w:val="a"/>
    <w:link w:val="10"/>
    <w:uiPriority w:val="9"/>
    <w:qFormat/>
    <w:rsid w:val="008B04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5489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54890"/>
    <w:rPr>
      <w:sz w:val="20"/>
      <w:szCs w:val="20"/>
    </w:rPr>
  </w:style>
  <w:style w:type="paragraph" w:customStyle="1" w:styleId="ConsPlusNormal">
    <w:name w:val="ConsPlusNormal"/>
    <w:uiPriority w:val="99"/>
    <w:rsid w:val="00F548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54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4890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B23C1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23C1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23C1A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23C1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23C1A"/>
    <w:rPr>
      <w:b/>
      <w:bCs/>
      <w:sz w:val="20"/>
      <w:szCs w:val="20"/>
    </w:rPr>
  </w:style>
  <w:style w:type="paragraph" w:customStyle="1" w:styleId="ConsPlusDocList">
    <w:name w:val="ConsPlusDocList"/>
    <w:next w:val="a"/>
    <w:uiPriority w:val="99"/>
    <w:rsid w:val="00526DF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Title"/>
    <w:basedOn w:val="a"/>
    <w:next w:val="a"/>
    <w:link w:val="ad"/>
    <w:uiPriority w:val="10"/>
    <w:qFormat/>
    <w:rsid w:val="008B04D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8B04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No Spacing"/>
    <w:uiPriority w:val="1"/>
    <w:qFormat/>
    <w:rsid w:val="008B04D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B04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header"/>
    <w:basedOn w:val="a"/>
    <w:link w:val="af0"/>
    <w:uiPriority w:val="99"/>
    <w:unhideWhenUsed/>
    <w:rsid w:val="00B472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47247"/>
  </w:style>
  <w:style w:type="paragraph" w:styleId="af1">
    <w:name w:val="footer"/>
    <w:basedOn w:val="a"/>
    <w:link w:val="af2"/>
    <w:uiPriority w:val="99"/>
    <w:semiHidden/>
    <w:unhideWhenUsed/>
    <w:rsid w:val="00B472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B472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9A0344FA10EBB173E6751070BE12E52F4CFD6CE261364CCFB8750C3B86A05C28D179D59DC8FCA3wFbFF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1DADE71973EB1BC2D189A3E10C365BD963250BEABB595946688DC3966AF3335EE707B1822DB68134F3C008DxET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F9A0344FA10EBB173E6751070BE12E52F4DF969E163364CCFB8750C3Bw8b6F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F685A-B634-44DF-939F-8D11CD5C6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17</Pages>
  <Words>4689</Words>
  <Characters>26729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</cp:lastModifiedBy>
  <cp:revision>38</cp:revision>
  <cp:lastPrinted>2021-02-10T06:02:00Z</cp:lastPrinted>
  <dcterms:created xsi:type="dcterms:W3CDTF">2020-12-07T18:28:00Z</dcterms:created>
  <dcterms:modified xsi:type="dcterms:W3CDTF">2022-06-27T12:41:00Z</dcterms:modified>
</cp:coreProperties>
</file>