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89ABEF" wp14:editId="0F95F38D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СОВЕТА ГРАЧЕВСКОГО МУНИЦИПАЛЬНОГО ОКРУГА</w:t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СТАВРОПОЛЬСКОГО КРАЯ</w:t>
      </w:r>
    </w:p>
    <w:p w:rsidR="00DB1685" w:rsidRPr="005954FA" w:rsidRDefault="00DB1685" w:rsidP="00DB1685">
      <w:pPr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1685" w:rsidRPr="00DB1685" w:rsidRDefault="004728F8" w:rsidP="00DB1685">
      <w:pPr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19 августа</w:t>
      </w:r>
      <w:r w:rsidR="00DB1685"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2021 года                    </w:t>
      </w:r>
      <w:r w:rsidR="00D962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DB1685"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      с. Грачевка         </w:t>
      </w:r>
      <w:r w:rsidR="00D962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B1685"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bookmarkStart w:id="0" w:name="_GoBack"/>
      <w:bookmarkEnd w:id="0"/>
      <w:r w:rsidR="00DB1685"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№ </w:t>
      </w:r>
      <w:r w:rsidR="00C37B6E">
        <w:rPr>
          <w:rFonts w:ascii="Times New Roman" w:hAnsi="Times New Roman" w:cs="Times New Roman"/>
          <w:sz w:val="28"/>
          <w:szCs w:val="28"/>
          <w:lang w:eastAsia="ar-SA"/>
        </w:rPr>
        <w:t>90</w:t>
      </w:r>
    </w:p>
    <w:p w:rsidR="00DB1685" w:rsidRPr="00DB1685" w:rsidRDefault="00DB1685" w:rsidP="00DB1685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1685" w:rsidRPr="00DB1685" w:rsidRDefault="00DB1685" w:rsidP="00DB1685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0B18" w:rsidRPr="007E21DE" w:rsidRDefault="00360B18" w:rsidP="00477C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FD067A" w:rsidRPr="007E21DE">
        <w:rPr>
          <w:rFonts w:ascii="Times New Roman" w:hAnsi="Times New Roman" w:cs="Times New Roman"/>
          <w:b/>
          <w:sz w:val="28"/>
          <w:szCs w:val="28"/>
        </w:rPr>
        <w:t>Грачевского</w:t>
      </w:r>
      <w:r w:rsidR="00DC2A30" w:rsidRPr="007E21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BE12A1" w:rsidRDefault="00BE12A1" w:rsidP="00477C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288" w:rsidRPr="008E4DF8" w:rsidRDefault="00B30288" w:rsidP="00477C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 w:rsidR="00DB16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F47E82">
        <w:rPr>
          <w:rFonts w:ascii="Times New Roman" w:hAnsi="Times New Roman" w:cs="Times New Roman"/>
          <w:sz w:val="28"/>
          <w:szCs w:val="28"/>
        </w:rPr>
        <w:t>,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8E4DF8">
        <w:rPr>
          <w:rFonts w:ascii="Times New Roman" w:hAnsi="Times New Roman" w:cs="Times New Roman"/>
          <w:sz w:val="28"/>
          <w:szCs w:val="28"/>
        </w:rPr>
        <w:t>в соответствие законодательству Российской Федерации</w:t>
      </w:r>
      <w:r w:rsidR="00DC2A30"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и Ставропольского края, </w:t>
      </w:r>
      <w:r w:rsidR="00FD067A">
        <w:rPr>
          <w:rFonts w:ascii="Times New Roman" w:hAnsi="Times New Roman" w:cs="Times New Roman"/>
          <w:sz w:val="28"/>
          <w:szCs w:val="28"/>
        </w:rPr>
        <w:t>Совет</w:t>
      </w:r>
      <w:r w:rsidR="00D763A3">
        <w:rPr>
          <w:rFonts w:ascii="Times New Roman" w:hAnsi="Times New Roman" w:cs="Times New Roman"/>
          <w:sz w:val="28"/>
          <w:szCs w:val="28"/>
        </w:rPr>
        <w:t xml:space="preserve">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B30288" w:rsidRPr="008E4DF8" w:rsidRDefault="00B30288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B302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360B18" w:rsidRPr="008E4DF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0B1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</w:t>
      </w:r>
      <w:r w:rsidR="00E8555F" w:rsidRPr="008E4DF8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E8555F" w:rsidRPr="002C4AB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C2A30" w:rsidRPr="002C4AB8">
        <w:rPr>
          <w:rFonts w:ascii="Times New Roman" w:hAnsi="Times New Roman" w:cs="Times New Roman"/>
          <w:sz w:val="28"/>
          <w:szCs w:val="28"/>
        </w:rPr>
        <w:t xml:space="preserve"> </w:t>
      </w:r>
      <w:r w:rsidRPr="002C4AB8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0240A" w:rsidRPr="002C4AB8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66048" w:rsidRDefault="00DC2A30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- </w:t>
      </w:r>
      <w:r w:rsidR="002C4AB8" w:rsidRPr="002C4AB8">
        <w:rPr>
          <w:rFonts w:ascii="Times New Roman" w:hAnsi="Times New Roman" w:cs="Times New Roman"/>
          <w:sz w:val="28"/>
          <w:szCs w:val="28"/>
        </w:rPr>
        <w:t>дополнить статьей 13.1 следующего содержания: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«</w:t>
      </w:r>
      <w:r w:rsidRPr="002C4AB8">
        <w:rPr>
          <w:rFonts w:ascii="Times New Roman" w:hAnsi="Times New Roman" w:cs="Times New Roman"/>
          <w:b/>
          <w:sz w:val="28"/>
          <w:szCs w:val="28"/>
        </w:rPr>
        <w:t>Статья 13.1. Муниципальные выборы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1.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голосовании.</w:t>
      </w:r>
    </w:p>
    <w:p w:rsid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Выборы депутатов представительного органа муниципального округа проводятся по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многомандатным </w:t>
      </w:r>
      <w:r w:rsidRPr="002C4AB8">
        <w:rPr>
          <w:rFonts w:ascii="Times New Roman" w:hAnsi="Times New Roman" w:cs="Times New Roman"/>
          <w:sz w:val="28"/>
          <w:szCs w:val="28"/>
        </w:rPr>
        <w:t xml:space="preserve">избирательным округам. </w:t>
      </w:r>
    </w:p>
    <w:p w:rsid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муниципальных выборов в муниципальном округе применяется избирательная система, установленная частью 2 статьи</w:t>
      </w:r>
      <w:r w:rsidR="007E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Закона Ставропольского края от 12 мая 2017 года № 50-кз «О выборах</w:t>
      </w:r>
      <w:r w:rsidR="007E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органы местного самоуправления муниципальных образований Ставропольского края».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многомандатном избирательном округе мандатов,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получившие (получивший) наибольшее относительно других кандидатов, зарегистрированных по этому многомандатному избирательному округу, число голосов избирателей, принявших участие</w:t>
      </w:r>
      <w:r w:rsidR="007E2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голосовании.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</w:t>
      </w:r>
      <w:proofErr w:type="gramEnd"/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3. Муниципальные выборы назначаются представительным органом муниципального округа. Решение о назначении муниципальных выборов должно быть принято не ранее чем за 90 дней и не </w:t>
      </w:r>
      <w:proofErr w:type="gramStart"/>
      <w:r w:rsidRPr="002C4A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C4AB8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2C4AB8">
        <w:rPr>
          <w:rFonts w:ascii="Times New Roman" w:hAnsi="Times New Roman" w:cs="Times New Roman"/>
          <w:sz w:val="28"/>
          <w:szCs w:val="28"/>
        </w:rPr>
        <w:t>с ним законами Ставропольского края.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5. Итоги муниципальных выборов подлежат официальному опубликованию (обнародованию)</w:t>
      </w:r>
      <w:proofErr w:type="gramStart"/>
      <w:r w:rsidRPr="002C4AB8">
        <w:rPr>
          <w:rFonts w:ascii="Times New Roman" w:hAnsi="Times New Roman" w:cs="Times New Roman"/>
          <w:sz w:val="28"/>
          <w:szCs w:val="28"/>
        </w:rPr>
        <w:t>.</w:t>
      </w:r>
      <w:r w:rsidR="002A763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7049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49">
        <w:rPr>
          <w:rFonts w:ascii="Times New Roman" w:hAnsi="Times New Roman" w:cs="Times New Roman"/>
          <w:sz w:val="28"/>
          <w:szCs w:val="28"/>
        </w:rPr>
        <w:t>дополнить статьей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7049">
        <w:rPr>
          <w:rFonts w:ascii="Times New Roman" w:hAnsi="Times New Roman" w:cs="Times New Roman"/>
          <w:sz w:val="28"/>
          <w:szCs w:val="28"/>
        </w:rPr>
        <w:t>.1:</w:t>
      </w:r>
    </w:p>
    <w:p w:rsidR="00DE599E" w:rsidRDefault="004B7049" w:rsidP="005024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99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2C4A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E599E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bookmarkStart w:id="1" w:name="sub_261"/>
      <w:r w:rsidR="00DE599E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611"/>
      <w:bookmarkEnd w:id="1"/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2C4AB8">
        <w:rPr>
          <w:rFonts w:ascii="Times New Roman" w:hAnsi="Times New Roman" w:cs="Times New Roman"/>
          <w:sz w:val="28"/>
          <w:szCs w:val="28"/>
        </w:rPr>
        <w:t>Грачевского</w:t>
      </w:r>
      <w:r w:rsidR="00F65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может быть внесен инициативный проект.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на которой могут реализовываться инициативные проекты, устанавливается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2612"/>
      <w:bookmarkEnd w:id="2"/>
      <w:r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органы территориальног</w:t>
      </w:r>
      <w:r w:rsidR="00545391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(далее - инициаторы проекта). Минимальная численность инициативной группы может быть уменьшена решением Совета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 Право</w:t>
      </w:r>
      <w:r w:rsidR="00EC062C">
        <w:rPr>
          <w:rFonts w:ascii="Times New Roman" w:hAnsi="Times New Roman" w:cs="Times New Roman"/>
          <w:sz w:val="28"/>
          <w:szCs w:val="28"/>
        </w:rPr>
        <w:t xml:space="preserve"> выступить инициатором проекта </w:t>
      </w:r>
      <w:r w:rsidR="00F652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может быть предоставлено также иным лицам, осуществляющим деятельность на территории </w:t>
      </w:r>
      <w:r w:rsidR="00C05FB0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2613"/>
      <w:bookmarkEnd w:id="3"/>
      <w:r>
        <w:rPr>
          <w:rFonts w:ascii="Times New Roman" w:hAnsi="Times New Roman" w:cs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 w:rsidR="00F652B8"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bookmarkEnd w:id="4"/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E599E" w:rsidRPr="00AF0FB8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1 статьи 16</w:t>
      </w:r>
      <w:r w:rsidR="00DE599E">
        <w:rPr>
          <w:rFonts w:ascii="Times New Roman" w:hAnsi="Times New Roman" w:cs="Times New Roman"/>
          <w:sz w:val="28"/>
          <w:szCs w:val="28"/>
        </w:rPr>
        <w:t xml:space="preserve"> посл</w:t>
      </w:r>
      <w:r>
        <w:rPr>
          <w:rFonts w:ascii="Times New Roman" w:hAnsi="Times New Roman" w:cs="Times New Roman"/>
          <w:sz w:val="28"/>
          <w:szCs w:val="28"/>
        </w:rPr>
        <w:t>е слов «местного самоуправления</w:t>
      </w:r>
      <w:r w:rsidR="00DE599E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599E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и </w:t>
      </w:r>
      <w:r w:rsidR="00DE599E" w:rsidRPr="004E1125">
        <w:rPr>
          <w:rFonts w:ascii="Times New Roman" w:hAnsi="Times New Roman" w:cs="Times New Roman"/>
          <w:sz w:val="28"/>
          <w:szCs w:val="28"/>
        </w:rPr>
        <w:t>их рассмотрения»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0FB8" w:rsidRPr="00AF0FB8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-</w:t>
      </w:r>
      <w:r w:rsidR="003934E2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часть 5 статьи 16 дополнить абзацем следующего содержания: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AF0FB8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AF0FB8">
        <w:rPr>
          <w:rFonts w:ascii="Times New Roman" w:hAnsi="Times New Roman" w:cs="Times New Roman"/>
          <w:sz w:val="28"/>
          <w:szCs w:val="28"/>
        </w:rPr>
        <w:t>.»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15C6" w:rsidRPr="00AF0FB8" w:rsidRDefault="004E1125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15C6">
        <w:rPr>
          <w:rFonts w:ascii="Times New Roman" w:hAnsi="Times New Roman" w:cs="Times New Roman"/>
          <w:sz w:val="28"/>
          <w:szCs w:val="28"/>
        </w:rPr>
        <w:t>- часть 2 статьи 1</w:t>
      </w:r>
      <w:r w:rsidR="00AF0FB8">
        <w:rPr>
          <w:rFonts w:ascii="Times New Roman" w:hAnsi="Times New Roman" w:cs="Times New Roman"/>
          <w:sz w:val="28"/>
          <w:szCs w:val="28"/>
        </w:rPr>
        <w:t>8</w:t>
      </w:r>
      <w:r w:rsidRPr="000D15C6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«</w:t>
      </w:r>
      <w:r w:rsidR="000D15C6" w:rsidRPr="000D15C6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</w:t>
      </w:r>
      <w:r w:rsidR="000D15C6" w:rsidRPr="00AF0FB8">
        <w:rPr>
          <w:rFonts w:ascii="Times New Roman" w:hAnsi="Times New Roman" w:cs="Times New Roman"/>
          <w:sz w:val="28"/>
          <w:szCs w:val="28"/>
        </w:rPr>
        <w:t>предлагается реализовать инициативный проект, достигшие шестнадцатилетнего возраста</w:t>
      </w:r>
      <w:proofErr w:type="gramStart"/>
      <w:r w:rsidR="000D15C6" w:rsidRPr="00AF0FB8">
        <w:rPr>
          <w:rFonts w:ascii="Times New Roman" w:hAnsi="Times New Roman" w:cs="Times New Roman"/>
          <w:sz w:val="28"/>
          <w:szCs w:val="28"/>
        </w:rPr>
        <w:t>.»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763C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- часть3 статьи 18 дополнить пунктом 3) следующего содержания:</w:t>
      </w:r>
    </w:p>
    <w:p w:rsidR="00AF0FB8" w:rsidRPr="003934E2" w:rsidRDefault="00AF0FB8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</w:t>
      </w:r>
      <w:r w:rsidR="002A763C">
        <w:rPr>
          <w:rFonts w:ascii="Times New Roman" w:hAnsi="Times New Roman" w:cs="Times New Roman"/>
          <w:sz w:val="28"/>
          <w:szCs w:val="28"/>
        </w:rPr>
        <w:t xml:space="preserve"> - для выявления мнения граждан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о поддержке данного инициативного проекта</w:t>
      </w:r>
      <w:proofErr w:type="gramStart"/>
      <w:r w:rsidRPr="00AF0F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AF0FB8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 xml:space="preserve">- в части 5 статьи 18 после слов </w:t>
      </w:r>
      <w:r w:rsidR="003934E2" w:rsidRPr="003934E2">
        <w:rPr>
          <w:rFonts w:ascii="Times New Roman" w:hAnsi="Times New Roman" w:cs="Times New Roman"/>
          <w:sz w:val="28"/>
          <w:szCs w:val="28"/>
        </w:rPr>
        <w:t xml:space="preserve">«муниципального </w:t>
      </w:r>
      <w:r w:rsidR="0050240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5954FA">
        <w:rPr>
          <w:rFonts w:ascii="Times New Roman" w:hAnsi="Times New Roman" w:cs="Times New Roman"/>
          <w:sz w:val="28"/>
          <w:szCs w:val="28"/>
        </w:rPr>
        <w:t>.</w:t>
      </w:r>
      <w:r w:rsidR="003934E2" w:rsidRPr="003934E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3934E2" w:rsidRPr="003934E2">
        <w:rPr>
          <w:rFonts w:ascii="Times New Roman" w:hAnsi="Times New Roman" w:cs="Times New Roman"/>
          <w:sz w:val="28"/>
          <w:szCs w:val="28"/>
        </w:rPr>
        <w:t xml:space="preserve">дополнить предложением: «Для проведения опроса граждан может использоваться официальный </w:t>
      </w:r>
      <w:r w:rsidR="002A763C">
        <w:rPr>
          <w:rFonts w:ascii="Times New Roman" w:hAnsi="Times New Roman" w:cs="Times New Roman"/>
          <w:sz w:val="28"/>
          <w:szCs w:val="28"/>
        </w:rPr>
        <w:t>сайт муниципального образования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="003934E2" w:rsidRPr="003934E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="003934E2" w:rsidRPr="003934E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3934E2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>- часть 5 статьи 18 дополнить пунктом 6 следующего содержания: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3934E2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</w:t>
      </w:r>
      <w:proofErr w:type="gramStart"/>
      <w:r w:rsidRPr="003934E2">
        <w:rPr>
          <w:rFonts w:ascii="Times New Roman" w:hAnsi="Times New Roman" w:cs="Times New Roman"/>
          <w:sz w:val="28"/>
          <w:szCs w:val="28"/>
        </w:rPr>
        <w:t>».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3934E2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 xml:space="preserve">- в части 7 статьи 18 пункт 1) </w:t>
      </w:r>
      <w:r w:rsidR="002A76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3934E2">
        <w:rPr>
          <w:rFonts w:ascii="Times New Roman" w:hAnsi="Times New Roman" w:cs="Times New Roman"/>
          <w:sz w:val="28"/>
          <w:szCs w:val="28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3934E2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- пункт 4</w:t>
      </w:r>
      <w:r w:rsidR="00F652B8"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066048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8E4DF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66048">
        <w:rPr>
          <w:rFonts w:ascii="Times New Roman" w:hAnsi="Times New Roman" w:cs="Times New Roman"/>
          <w:sz w:val="28"/>
          <w:szCs w:val="28"/>
        </w:rPr>
        <w:t>8</w:t>
      </w:r>
      <w:r w:rsidR="002A763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8E4DF8">
        <w:rPr>
          <w:rFonts w:ascii="Times New Roman" w:hAnsi="Times New Roman" w:cs="Times New Roman"/>
          <w:sz w:val="28"/>
          <w:szCs w:val="28"/>
        </w:rPr>
        <w:t>«4</w:t>
      </w:r>
      <w:r w:rsidR="00F652B8"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) </w:t>
      </w:r>
      <w:r w:rsidRPr="008E4D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="00066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выполнения комплексных кадастровых работ и утверждение карты-плана территории»;</w:t>
      </w:r>
    </w:p>
    <w:p w:rsidR="0050240A" w:rsidRDefault="0050240A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B18" w:rsidRDefault="00360B18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- част</w:t>
      </w:r>
      <w:r w:rsidR="00066048">
        <w:rPr>
          <w:rFonts w:ascii="Times New Roman" w:hAnsi="Times New Roman" w:cs="Times New Roman"/>
          <w:sz w:val="28"/>
          <w:szCs w:val="28"/>
        </w:rPr>
        <w:t>ь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066048">
        <w:rPr>
          <w:rFonts w:ascii="Times New Roman" w:hAnsi="Times New Roman" w:cs="Times New Roman"/>
          <w:sz w:val="28"/>
          <w:szCs w:val="28"/>
        </w:rPr>
        <w:t>2.1</w:t>
      </w:r>
      <w:r w:rsidRPr="008E4D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66048">
        <w:rPr>
          <w:rFonts w:ascii="Times New Roman" w:hAnsi="Times New Roman" w:cs="Times New Roman"/>
          <w:sz w:val="28"/>
          <w:szCs w:val="28"/>
        </w:rPr>
        <w:t>8 дополнить пунктом:</w:t>
      </w:r>
      <w:r w:rsidRPr="008E4DF8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B3028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C062C" w:rsidRDefault="00EC062C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статьей 4</w:t>
      </w:r>
      <w:r w:rsidR="00393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934E2">
        <w:rPr>
          <w:rFonts w:ascii="Times New Roman" w:hAnsi="Times New Roman" w:cs="Times New Roman"/>
          <w:sz w:val="28"/>
          <w:szCs w:val="28"/>
        </w:rPr>
        <w:t xml:space="preserve"> и статьей 42.2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934E2" w:rsidRDefault="00066048" w:rsidP="0050240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34E2">
        <w:rPr>
          <w:rFonts w:ascii="Times New Roman" w:hAnsi="Times New Roman" w:cs="Times New Roman"/>
          <w:b/>
          <w:bCs/>
          <w:sz w:val="28"/>
          <w:szCs w:val="28"/>
        </w:rPr>
        <w:t>Статья 42.1 Средства самообложения граждан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Средствами самообложения населения Грачевского муниципального округа являются разовые платежи граждан, осуществляемые для решения конкретных вопросов местного значения.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Грачевского муниципального округа (населенного пункта (либо части его территории), входящего в состав муниципального образования Грачевского муниципального округа</w:t>
      </w:r>
      <w:r w:rsidR="002A763C">
        <w:rPr>
          <w:rFonts w:ascii="Times New Roman" w:hAnsi="Times New Roman" w:cs="Times New Roman"/>
          <w:sz w:val="28"/>
          <w:szCs w:val="28"/>
        </w:rPr>
        <w:t>)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отдельных категор</w:t>
      </w:r>
      <w:r w:rsidR="002A763C">
        <w:rPr>
          <w:rFonts w:ascii="Times New Roman" w:hAnsi="Times New Roman" w:cs="Times New Roman"/>
          <w:sz w:val="28"/>
          <w:szCs w:val="28"/>
        </w:rPr>
        <w:t>ий граждан, численность которых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превышать 30 процентов от общего числа жителей муниципального образования Грачевского муниципального округа (населенного пункта (либо части его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), входящего в состав муниципального образования Грачевского муниципального округа) и для которых размер платежей может быть уменьшен.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Вопросы введения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1 статьи 56 </w:t>
      </w:r>
      <w:r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разовых платежей граждан решаются на местном референдуме, а в случаях, предусмотренных пунктами 4.1 и 4.3 части 1 статьи 25.1 </w:t>
      </w:r>
      <w:r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</w:t>
      </w:r>
      <w:r w:rsidR="00DB1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на сходе граждан».</w:t>
      </w:r>
    </w:p>
    <w:p w:rsidR="00F076ED" w:rsidRDefault="00F076ED" w:rsidP="0050240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99" w:rsidRDefault="00E84399" w:rsidP="005024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="000660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660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5611"/>
      <w:r>
        <w:rPr>
          <w:rFonts w:ascii="Times New Roman" w:hAnsi="Times New Roman" w:cs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1</w:t>
      </w:r>
      <w:r w:rsidR="00066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объемов инициативных платежей и (или) межбюджетных трансфертов из бюджета Ставропольского края, предоставленных в целях финансового обеспечения соответствующих расходных обязательств </w:t>
      </w:r>
      <w:r w:rsidR="0006604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5612"/>
      <w:bookmarkEnd w:id="5"/>
      <w:r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5613"/>
      <w:bookmarkEnd w:id="6"/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инициативные платежи подлежат возврату лицам (в том числе организациям), осуществившим их перечисление в местный бюджет.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организациям), осуществившим их перечисление в местный бюджет.</w:t>
      </w:r>
    </w:p>
    <w:bookmarkEnd w:id="7"/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</w:t>
      </w:r>
      <w:r w:rsidR="0006604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(решением схода граждан, осуществляющего полномочия представительного органа) муниципального образования.</w:t>
      </w:r>
    </w:p>
    <w:p w:rsidR="00E84399" w:rsidRPr="002A763C" w:rsidRDefault="00E84399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</w:t>
      </w:r>
      <w:r w:rsidR="00EC0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форме добровольного имущественного и (или) трудового</w:t>
      </w:r>
      <w:r w:rsidR="005954FA">
        <w:rPr>
          <w:rFonts w:ascii="Times New Roman" w:hAnsi="Times New Roman" w:cs="Times New Roman"/>
          <w:sz w:val="28"/>
          <w:szCs w:val="28"/>
        </w:rPr>
        <w:t xml:space="preserve"> участия заинтересованных лиц».</w:t>
      </w:r>
    </w:p>
    <w:p w:rsidR="00B3028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072" w:rsidRDefault="00861072" w:rsidP="00861072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часть 4 статья 58 изложить в новой редакции: «</w:t>
      </w:r>
      <w:r>
        <w:rPr>
          <w:rFonts w:ascii="Times New Roman" w:hAnsi="Times New Roman" w:cs="Times New Roman"/>
          <w:sz w:val="28"/>
        </w:rPr>
        <w:t>Проекты муниципальных нормативных правовых актов, затрагивающие вопросы осуществления предпринимательской и иной экономической деятельности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Ставропольского края, за исключением:</w:t>
      </w:r>
    </w:p>
    <w:p w:rsidR="00861072" w:rsidRDefault="00861072" w:rsidP="00861072">
      <w:pPr>
        <w:widowControl/>
        <w:autoSpaceDE/>
        <w:adjustRightInd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проектов нормативных правовых актов Совета муниципального округа, устанавливающих, изменяющих, приостанавливающих, отменяющих местные налоги и сборы;</w:t>
      </w:r>
    </w:p>
    <w:p w:rsidR="00861072" w:rsidRDefault="00861072" w:rsidP="00861072">
      <w:pPr>
        <w:widowControl/>
        <w:autoSpaceDE/>
        <w:adjustRightInd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проектов нормативных правовых актов Совета муниципального округа, регулирующих бюджетные правоотношения;</w:t>
      </w:r>
    </w:p>
    <w:p w:rsidR="00861072" w:rsidRDefault="00861072" w:rsidP="00861072">
      <w:pPr>
        <w:widowControl/>
        <w:autoSpaceDE/>
        <w:adjustRightInd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 период действия режимов чрезвычайных ситуаций.</w:t>
      </w:r>
    </w:p>
    <w:p w:rsidR="00861072" w:rsidRDefault="00861072" w:rsidP="00861072">
      <w:pPr>
        <w:autoSpaceDE/>
        <w:adjustRightInd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</w:p>
    <w:p w:rsidR="00B30288" w:rsidRDefault="00B30288" w:rsidP="00B3028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Default="008E4DF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p2353"/>
      <w:bookmarkEnd w:id="8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E84399">
        <w:rPr>
          <w:rFonts w:ascii="Times New Roman" w:hAnsi="Times New Roman" w:cs="Times New Roman"/>
          <w:sz w:val="28"/>
          <w:szCs w:val="28"/>
        </w:rPr>
        <w:t>.</w:t>
      </w:r>
    </w:p>
    <w:p w:rsidR="00B30288" w:rsidRPr="008E4DF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Default="008E4DF8" w:rsidP="0050240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E84399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 xml:space="preserve">настоящее решение после его </w:t>
      </w:r>
      <w:r w:rsidRPr="008E4DF8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регистрации.</w:t>
      </w:r>
    </w:p>
    <w:p w:rsidR="00B30288" w:rsidRPr="008E4DF8" w:rsidRDefault="00B30288" w:rsidP="0050240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Pr="00FD067A" w:rsidRDefault="008E4DF8" w:rsidP="0050240A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360B18" w:rsidRDefault="00360B18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DB1685" w:rsidRPr="00FD067A" w:rsidRDefault="00DB1685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360B18" w:rsidRPr="00FD067A" w:rsidRDefault="00360B18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B3028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5954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B3028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B302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FD067A" w:rsidRPr="00FD067A" w:rsidRDefault="00FD067A" w:rsidP="002A76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B1685" w:rsidRDefault="00FD067A" w:rsidP="00DB168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 w:rsidR="00DB1685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FD067A" w:rsidRDefault="00FD067A" w:rsidP="00DB168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 w:rsidR="00B30288">
        <w:rPr>
          <w:rFonts w:ascii="Times New Roman" w:hAnsi="Times New Roman" w:cs="Times New Roman"/>
          <w:sz w:val="28"/>
        </w:rPr>
        <w:t>округа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</w:t>
      </w:r>
      <w:r w:rsidR="005954FA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 w:rsidR="00B30288"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 w:rsidR="00B30288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 w:rsidR="00B30288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 w:rsidR="00B30288">
        <w:rPr>
          <w:rFonts w:ascii="Times New Roman" w:hAnsi="Times New Roman" w:cs="Times New Roman"/>
          <w:sz w:val="28"/>
        </w:rPr>
        <w:t>С.Л. Филичкин</w:t>
      </w:r>
    </w:p>
    <w:sectPr w:rsidR="00FD067A" w:rsidRPr="00FD067A" w:rsidSect="005954F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FD" w:rsidRDefault="009E5CFD" w:rsidP="008E4DF8">
      <w:r>
        <w:separator/>
      </w:r>
    </w:p>
  </w:endnote>
  <w:endnote w:type="continuationSeparator" w:id="0">
    <w:p w:rsidR="009E5CFD" w:rsidRDefault="009E5CFD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FD" w:rsidRDefault="009E5CFD" w:rsidP="008E4DF8">
      <w:r>
        <w:separator/>
      </w:r>
    </w:p>
  </w:footnote>
  <w:footnote w:type="continuationSeparator" w:id="0">
    <w:p w:rsidR="009E5CFD" w:rsidRDefault="009E5CFD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FA">
          <w:rPr>
            <w:noProof/>
          </w:rPr>
          <w:t>6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4045"/>
    <w:rsid w:val="00066048"/>
    <w:rsid w:val="00094D57"/>
    <w:rsid w:val="000D15C6"/>
    <w:rsid w:val="00116F6E"/>
    <w:rsid w:val="00130D48"/>
    <w:rsid w:val="001922DF"/>
    <w:rsid w:val="001E0A16"/>
    <w:rsid w:val="0023360B"/>
    <w:rsid w:val="002435FD"/>
    <w:rsid w:val="00285B46"/>
    <w:rsid w:val="002A763C"/>
    <w:rsid w:val="002C4AB8"/>
    <w:rsid w:val="002D5A4A"/>
    <w:rsid w:val="00360B18"/>
    <w:rsid w:val="003934E2"/>
    <w:rsid w:val="004728F8"/>
    <w:rsid w:val="00477C47"/>
    <w:rsid w:val="004B7049"/>
    <w:rsid w:val="004E1125"/>
    <w:rsid w:val="0050240A"/>
    <w:rsid w:val="00545391"/>
    <w:rsid w:val="00570665"/>
    <w:rsid w:val="005954FA"/>
    <w:rsid w:val="00667CA8"/>
    <w:rsid w:val="006C2F7A"/>
    <w:rsid w:val="007E21DE"/>
    <w:rsid w:val="008340E9"/>
    <w:rsid w:val="00861072"/>
    <w:rsid w:val="008C47A4"/>
    <w:rsid w:val="008D7087"/>
    <w:rsid w:val="008E4DF8"/>
    <w:rsid w:val="00937340"/>
    <w:rsid w:val="009E5CFD"/>
    <w:rsid w:val="00A1164A"/>
    <w:rsid w:val="00AF0FB8"/>
    <w:rsid w:val="00B30288"/>
    <w:rsid w:val="00B67D35"/>
    <w:rsid w:val="00B965EC"/>
    <w:rsid w:val="00BB0352"/>
    <w:rsid w:val="00BB2887"/>
    <w:rsid w:val="00BE12A1"/>
    <w:rsid w:val="00C05FB0"/>
    <w:rsid w:val="00C1175D"/>
    <w:rsid w:val="00C3156D"/>
    <w:rsid w:val="00C37B6E"/>
    <w:rsid w:val="00C6625B"/>
    <w:rsid w:val="00D10304"/>
    <w:rsid w:val="00D7607C"/>
    <w:rsid w:val="00D763A3"/>
    <w:rsid w:val="00D962DB"/>
    <w:rsid w:val="00DB085F"/>
    <w:rsid w:val="00DB1685"/>
    <w:rsid w:val="00DC2A30"/>
    <w:rsid w:val="00DE599E"/>
    <w:rsid w:val="00E3526E"/>
    <w:rsid w:val="00E644C1"/>
    <w:rsid w:val="00E84399"/>
    <w:rsid w:val="00E8555F"/>
    <w:rsid w:val="00EC062C"/>
    <w:rsid w:val="00F076ED"/>
    <w:rsid w:val="00F23307"/>
    <w:rsid w:val="00F23CD1"/>
    <w:rsid w:val="00F47E82"/>
    <w:rsid w:val="00F652B8"/>
    <w:rsid w:val="00F72E0E"/>
    <w:rsid w:val="00F93802"/>
    <w:rsid w:val="00FA40D9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28</cp:revision>
  <cp:lastPrinted>2021-08-20T05:28:00Z</cp:lastPrinted>
  <dcterms:created xsi:type="dcterms:W3CDTF">2021-04-09T07:20:00Z</dcterms:created>
  <dcterms:modified xsi:type="dcterms:W3CDTF">2021-08-20T05:29:00Z</dcterms:modified>
</cp:coreProperties>
</file>